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8FB" w:rsidRDefault="005628FB" w:rsidP="00E26086">
      <w:pPr>
        <w:pStyle w:val="Head1"/>
      </w:pPr>
      <w:bookmarkStart w:id="0" w:name="_GoBack"/>
      <w:bookmarkEnd w:id="0"/>
      <w:r>
        <w:t>1</w:t>
      </w:r>
      <w:r w:rsidR="001C59CA">
        <w:t xml:space="preserve">20.0 </w:t>
      </w:r>
      <w:r w:rsidR="001C59CA">
        <w:tab/>
        <w:t>Cash</w:t>
      </w:r>
    </w:p>
    <w:tbl>
      <w:tblPr>
        <w:tblW w:w="9631" w:type="dxa"/>
        <w:tblInd w:w="-106"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00" w:firstRow="0" w:lastRow="0" w:firstColumn="0" w:lastColumn="0" w:noHBand="0" w:noVBand="0"/>
      </w:tblPr>
      <w:tblGrid>
        <w:gridCol w:w="759"/>
        <w:gridCol w:w="8872"/>
      </w:tblGrid>
      <w:tr w:rsidR="005628FB" w:rsidTr="001C59CA">
        <w:trPr>
          <w:cantSplit/>
          <w:trHeight w:val="1772"/>
        </w:trPr>
        <w:tc>
          <w:tcPr>
            <w:tcW w:w="759" w:type="dxa"/>
            <w:shd w:val="clear" w:color="auto" w:fill="DBE5F1"/>
            <w:textDirection w:val="btLr"/>
            <w:vAlign w:val="center"/>
          </w:tcPr>
          <w:p w:rsidR="005628FB" w:rsidRDefault="005628FB" w:rsidP="00B82467">
            <w:pPr>
              <w:widowControl w:val="0"/>
              <w:autoSpaceDE w:val="0"/>
              <w:autoSpaceDN w:val="0"/>
              <w:adjustRightInd w:val="0"/>
              <w:spacing w:after="0" w:line="240" w:lineRule="auto"/>
              <w:ind w:left="113" w:right="113"/>
              <w:jc w:val="center"/>
              <w:rPr>
                <w:b/>
                <w:bCs/>
                <w:color w:val="000080"/>
                <w:sz w:val="26"/>
                <w:szCs w:val="26"/>
              </w:rPr>
            </w:pPr>
            <w:r>
              <w:rPr>
                <w:b/>
                <w:bCs/>
                <w:color w:val="000080"/>
                <w:sz w:val="26"/>
                <w:szCs w:val="26"/>
              </w:rPr>
              <w:t>OVERVIEW</w:t>
            </w:r>
          </w:p>
        </w:tc>
        <w:tc>
          <w:tcPr>
            <w:tcW w:w="8872" w:type="dxa"/>
            <w:shd w:val="clear" w:color="auto" w:fill="DBE5F1"/>
          </w:tcPr>
          <w:p w:rsidR="001C59CA" w:rsidRDefault="001C59CA" w:rsidP="001C59CA">
            <w:pPr>
              <w:pStyle w:val="Tablebullet1"/>
              <w:numPr>
                <w:ilvl w:val="0"/>
                <w:numId w:val="0"/>
              </w:numPr>
              <w:tabs>
                <w:tab w:val="left" w:pos="360"/>
              </w:tabs>
              <w:ind w:left="360"/>
              <w:rPr>
                <w:color w:val="003399"/>
              </w:rPr>
            </w:pPr>
          </w:p>
          <w:p w:rsidR="001C59CA" w:rsidRPr="00936D40" w:rsidRDefault="001C59CA" w:rsidP="001C59CA">
            <w:pPr>
              <w:pStyle w:val="Tablebullet1"/>
              <w:numPr>
                <w:ilvl w:val="0"/>
                <w:numId w:val="0"/>
              </w:numPr>
              <w:tabs>
                <w:tab w:val="left" w:pos="360"/>
              </w:tabs>
              <w:ind w:left="360"/>
            </w:pPr>
            <w:r>
              <w:rPr>
                <w:color w:val="003399"/>
              </w:rPr>
              <w:t xml:space="preserve"> Cash- </w:t>
            </w:r>
            <w:r w:rsidRPr="00936D40">
              <w:rPr>
                <w:color w:val="003399"/>
              </w:rPr>
              <w:t xml:space="preserve">In finance cash refers to </w:t>
            </w:r>
            <w:r>
              <w:rPr>
                <w:color w:val="003399"/>
              </w:rPr>
              <w:t>current assets</w:t>
            </w:r>
            <w:r w:rsidRPr="00936D40">
              <w:rPr>
                <w:color w:val="003399"/>
              </w:rPr>
              <w:t xml:space="preserve"> comprising </w:t>
            </w:r>
            <w:r>
              <w:rPr>
                <w:color w:val="003399"/>
              </w:rPr>
              <w:t xml:space="preserve">of </w:t>
            </w:r>
            <w:r w:rsidRPr="00936D40">
              <w:rPr>
                <w:color w:val="003399"/>
              </w:rPr>
              <w:t>currency or currency equivalents that can be accessed immediately or near-immediately</w:t>
            </w:r>
            <w:r>
              <w:rPr>
                <w:color w:val="003399"/>
              </w:rPr>
              <w:t xml:space="preserve">. </w:t>
            </w:r>
            <w:r w:rsidRPr="00936D40">
              <w:rPr>
                <w:color w:val="003399"/>
              </w:rPr>
              <w:t>Cash is seen ei</w:t>
            </w:r>
            <w:r w:rsidR="00CD1F4C">
              <w:rPr>
                <w:color w:val="003399"/>
              </w:rPr>
              <w:t>ther as a reserve for payments or in case of an</w:t>
            </w:r>
            <w:r w:rsidRPr="00936D40">
              <w:rPr>
                <w:color w:val="003399"/>
              </w:rPr>
              <w:t xml:space="preserve"> incidental negative </w:t>
            </w:r>
            <w:r>
              <w:rPr>
                <w:color w:val="003399"/>
              </w:rPr>
              <w:t>cash flow as</w:t>
            </w:r>
            <w:r w:rsidRPr="00936D40">
              <w:rPr>
                <w:color w:val="003399"/>
              </w:rPr>
              <w:t xml:space="preserve"> a way to avoid a downturn on financial markets</w:t>
            </w:r>
          </w:p>
          <w:p w:rsidR="005628FB" w:rsidRDefault="005628FB" w:rsidP="001C59CA">
            <w:pPr>
              <w:pStyle w:val="Tablebullet1"/>
              <w:numPr>
                <w:ilvl w:val="0"/>
                <w:numId w:val="0"/>
              </w:numPr>
              <w:tabs>
                <w:tab w:val="left" w:pos="360"/>
              </w:tabs>
              <w:ind w:left="360"/>
            </w:pPr>
          </w:p>
        </w:tc>
      </w:tr>
    </w:tbl>
    <w:p w:rsidR="005628FB" w:rsidRDefault="005628FB" w:rsidP="00E26086">
      <w:pPr>
        <w:pStyle w:val="Text1"/>
      </w:pPr>
    </w:p>
    <w:p w:rsidR="005628FB" w:rsidRDefault="00293B50" w:rsidP="00E26086">
      <w:r>
        <w:tab/>
      </w:r>
    </w:p>
    <w:p w:rsidR="001C59CA" w:rsidRPr="00576746" w:rsidRDefault="001C59CA" w:rsidP="001C59CA">
      <w:pPr>
        <w:pStyle w:val="Head1"/>
        <w:rPr>
          <w:color w:val="1F497D" w:themeColor="text2"/>
        </w:rPr>
      </w:pPr>
      <w:r w:rsidRPr="00576746">
        <w:rPr>
          <w:color w:val="1F497D" w:themeColor="text2"/>
        </w:rPr>
        <w:t>120.1</w:t>
      </w:r>
      <w:r w:rsidRPr="00576746">
        <w:rPr>
          <w:color w:val="1F497D" w:themeColor="text2"/>
        </w:rPr>
        <w:tab/>
        <w:t>Purpose and scope</w:t>
      </w:r>
    </w:p>
    <w:p w:rsidR="001C59CA" w:rsidRPr="004D4D31" w:rsidRDefault="001C59CA" w:rsidP="001C59CA">
      <w:pPr>
        <w:pStyle w:val="Default"/>
        <w:rPr>
          <w:sz w:val="22"/>
          <w:szCs w:val="22"/>
        </w:rPr>
      </w:pPr>
      <w:r w:rsidRPr="00D5653F">
        <w:rPr>
          <w:sz w:val="22"/>
          <w:szCs w:val="22"/>
        </w:rPr>
        <w:t>The policy set forth below summarize the requirements for opening, reconciling, updating and closing of all domestic and international Samsonite bank accounts and cash collections</w:t>
      </w:r>
      <w:r w:rsidR="008E0D34">
        <w:rPr>
          <w:sz w:val="22"/>
          <w:szCs w:val="22"/>
        </w:rPr>
        <w:t>.</w:t>
      </w:r>
      <w:r w:rsidRPr="00D5653F">
        <w:rPr>
          <w:sz w:val="22"/>
          <w:szCs w:val="22"/>
        </w:rPr>
        <w:t xml:space="preserve"> The purpose of this policy is to establish appropriate bank account</w:t>
      </w:r>
      <w:r w:rsidR="008E0D34">
        <w:rPr>
          <w:sz w:val="22"/>
          <w:szCs w:val="22"/>
        </w:rPr>
        <w:t xml:space="preserve"> and </w:t>
      </w:r>
      <w:r w:rsidRPr="00D5653F">
        <w:rPr>
          <w:sz w:val="22"/>
          <w:szCs w:val="22"/>
        </w:rPr>
        <w:t>cash control procedures to protect Samsonite assets and minimize any risk of financial loss</w:t>
      </w:r>
      <w:r>
        <w:rPr>
          <w:sz w:val="22"/>
          <w:szCs w:val="22"/>
        </w:rPr>
        <w:t>.</w:t>
      </w:r>
      <w:r w:rsidRPr="00CB49A5">
        <w:rPr>
          <w:sz w:val="22"/>
          <w:szCs w:val="22"/>
        </w:rPr>
        <w:t xml:space="preserve"> </w:t>
      </w:r>
      <w:r>
        <w:rPr>
          <w:sz w:val="22"/>
          <w:szCs w:val="22"/>
        </w:rPr>
        <w:t xml:space="preserve">Each financial </w:t>
      </w:r>
      <w:r w:rsidRPr="004D4D31">
        <w:rPr>
          <w:sz w:val="22"/>
          <w:szCs w:val="22"/>
        </w:rPr>
        <w:t xml:space="preserve">center (corporate treasury, regional </w:t>
      </w:r>
      <w:r>
        <w:rPr>
          <w:sz w:val="22"/>
          <w:szCs w:val="22"/>
        </w:rPr>
        <w:t>and</w:t>
      </w:r>
      <w:r w:rsidRPr="004D4D31">
        <w:rPr>
          <w:sz w:val="22"/>
          <w:szCs w:val="22"/>
        </w:rPr>
        <w:t xml:space="preserve"> country cash m</w:t>
      </w:r>
      <w:r>
        <w:rPr>
          <w:sz w:val="22"/>
          <w:szCs w:val="22"/>
        </w:rPr>
        <w:t xml:space="preserve">anagement/ finance centers) is </w:t>
      </w:r>
      <w:r w:rsidRPr="004D4D31">
        <w:rPr>
          <w:sz w:val="22"/>
          <w:szCs w:val="22"/>
        </w:rPr>
        <w:t xml:space="preserve">responsible for complying with the policies and procedures outlined in this document and for developing detailed written departmental operating procedures. Corporate Treasury is available for consultation and review of departmental procedures. Departments are responsible for training designated employees in local cash </w:t>
      </w:r>
      <w:r>
        <w:rPr>
          <w:sz w:val="22"/>
          <w:szCs w:val="22"/>
        </w:rPr>
        <w:t xml:space="preserve">debt </w:t>
      </w:r>
      <w:r w:rsidRPr="004D4D31">
        <w:rPr>
          <w:sz w:val="22"/>
          <w:szCs w:val="22"/>
        </w:rPr>
        <w:t>management handling policies and procedures.</w:t>
      </w:r>
      <w:r w:rsidRPr="00CB49A5">
        <w:rPr>
          <w:sz w:val="22"/>
          <w:szCs w:val="22"/>
        </w:rPr>
        <w:t xml:space="preserve"> </w:t>
      </w:r>
      <w:r>
        <w:rPr>
          <w:sz w:val="22"/>
          <w:szCs w:val="22"/>
        </w:rPr>
        <w:t xml:space="preserve">In keeping with this policy it will be the responsibility of the regional CFO’s to establish appropriate guidelines and procedures to ensure adequate controls are in place for the review, acceptances and authorization of bank accounts, cash collections, </w:t>
      </w:r>
      <w:r w:rsidR="00417ADC">
        <w:rPr>
          <w:sz w:val="22"/>
          <w:szCs w:val="22"/>
        </w:rPr>
        <w:t xml:space="preserve">and </w:t>
      </w:r>
      <w:r>
        <w:rPr>
          <w:sz w:val="22"/>
          <w:szCs w:val="22"/>
        </w:rPr>
        <w:t xml:space="preserve">cash disbursements for regional / local Samsonite entities. Therefore, for your assistance there is an addendum outlining some procedures for local/regional implementation? </w:t>
      </w:r>
      <w:r w:rsidR="008E0D34">
        <w:rPr>
          <w:sz w:val="22"/>
          <w:szCs w:val="22"/>
        </w:rPr>
        <w:t xml:space="preserve">Please contact corporate treasury for the addendum. </w:t>
      </w:r>
      <w:r>
        <w:rPr>
          <w:sz w:val="22"/>
          <w:szCs w:val="22"/>
        </w:rPr>
        <w:t xml:space="preserve">                                        </w:t>
      </w:r>
    </w:p>
    <w:p w:rsidR="001C59CA" w:rsidRDefault="001C59CA" w:rsidP="001C59CA">
      <w:pPr>
        <w:pStyle w:val="Default"/>
        <w:rPr>
          <w:b/>
          <w:bCs/>
          <w:sz w:val="22"/>
          <w:szCs w:val="22"/>
        </w:rPr>
      </w:pPr>
    </w:p>
    <w:p w:rsidR="001C59CA" w:rsidRPr="00D5653F" w:rsidRDefault="001C59CA" w:rsidP="001C59CA">
      <w:pPr>
        <w:pStyle w:val="Text1"/>
      </w:pPr>
    </w:p>
    <w:p w:rsidR="001C59CA" w:rsidRPr="00576746" w:rsidRDefault="001C59CA" w:rsidP="001C59CA">
      <w:pPr>
        <w:autoSpaceDE w:val="0"/>
        <w:autoSpaceDN w:val="0"/>
        <w:adjustRightInd w:val="0"/>
        <w:rPr>
          <w:b/>
          <w:bCs/>
          <w:color w:val="1F497D" w:themeColor="text2"/>
          <w:sz w:val="24"/>
          <w:szCs w:val="24"/>
        </w:rPr>
      </w:pPr>
      <w:r w:rsidRPr="00576746">
        <w:rPr>
          <w:color w:val="1F497D" w:themeColor="text2"/>
          <w:sz w:val="24"/>
          <w:szCs w:val="24"/>
        </w:rPr>
        <w:t>120.2</w:t>
      </w:r>
      <w:r w:rsidRPr="00576746">
        <w:rPr>
          <w:color w:val="1F497D" w:themeColor="text2"/>
          <w:sz w:val="24"/>
          <w:szCs w:val="24"/>
        </w:rPr>
        <w:tab/>
      </w:r>
      <w:r w:rsidRPr="00576746">
        <w:rPr>
          <w:b/>
          <w:bCs/>
          <w:color w:val="1F497D" w:themeColor="text2"/>
          <w:sz w:val="24"/>
          <w:szCs w:val="24"/>
        </w:rPr>
        <w:t xml:space="preserve"> Bank Accounts</w:t>
      </w:r>
    </w:p>
    <w:p w:rsidR="0085595F" w:rsidRDefault="00CD1F4C" w:rsidP="00097693">
      <w:pPr>
        <w:autoSpaceDE w:val="0"/>
        <w:autoSpaceDN w:val="0"/>
        <w:adjustRightInd w:val="0"/>
      </w:pPr>
      <w:r>
        <w:t>All</w:t>
      </w:r>
      <w:r w:rsidR="001C59CA" w:rsidRPr="00625FDB">
        <w:t xml:space="preserve"> bank account activity are controlled and maintained by Corporate Treasury (for corporate activity or Samsonite LLC), regional finance leaders (Europe / Hong </w:t>
      </w:r>
      <w:r w:rsidRPr="00625FDB">
        <w:t>Kong)</w:t>
      </w:r>
      <w:r w:rsidR="001C59CA" w:rsidRPr="00625FDB">
        <w:t xml:space="preserve"> and country finance centers for Europe, Asia &amp; Latin America. All bank accounts must be opened and closed under the approval of regional CFO’s or corporate treasury. Therefore, no other personnel may establish a bank account without first contacting either corporate treasury (for corporate or America’s activity) or region CFO’s for local regional banking in country activity. </w:t>
      </w:r>
    </w:p>
    <w:p w:rsidR="0085595F" w:rsidRDefault="0085595F" w:rsidP="00097693">
      <w:pPr>
        <w:autoSpaceDE w:val="0"/>
        <w:autoSpaceDN w:val="0"/>
        <w:adjustRightInd w:val="0"/>
      </w:pPr>
    </w:p>
    <w:p w:rsidR="001C59CA" w:rsidRPr="00576746" w:rsidRDefault="00D91638" w:rsidP="00097693">
      <w:pPr>
        <w:autoSpaceDE w:val="0"/>
        <w:autoSpaceDN w:val="0"/>
        <w:adjustRightInd w:val="0"/>
        <w:rPr>
          <w:b/>
          <w:bCs/>
          <w:color w:val="1F497D" w:themeColor="text2"/>
          <w:sz w:val="24"/>
          <w:szCs w:val="24"/>
        </w:rPr>
      </w:pPr>
      <w:r>
        <w:rPr>
          <w:b/>
          <w:bCs/>
          <w:color w:val="1F497D" w:themeColor="text2"/>
          <w:sz w:val="24"/>
          <w:szCs w:val="24"/>
        </w:rPr>
        <w:lastRenderedPageBreak/>
        <w:t>120.3</w:t>
      </w:r>
      <w:r w:rsidR="001C59CA">
        <w:rPr>
          <w:b/>
          <w:bCs/>
          <w:color w:val="1F497D" w:themeColor="text2"/>
          <w:sz w:val="24"/>
          <w:szCs w:val="24"/>
        </w:rPr>
        <w:t xml:space="preserve"> </w:t>
      </w:r>
      <w:r w:rsidR="001C59CA" w:rsidRPr="00576746">
        <w:rPr>
          <w:b/>
          <w:bCs/>
          <w:color w:val="1F497D" w:themeColor="text2"/>
          <w:sz w:val="24"/>
          <w:szCs w:val="24"/>
        </w:rPr>
        <w:t>Opening New Bank Accounts</w:t>
      </w:r>
    </w:p>
    <w:p w:rsidR="001C59CA" w:rsidRDefault="001C59CA" w:rsidP="00097693">
      <w:pPr>
        <w:autoSpaceDE w:val="0"/>
        <w:autoSpaceDN w:val="0"/>
        <w:adjustRightInd w:val="0"/>
      </w:pPr>
      <w:r w:rsidRPr="00625FDB">
        <w:t xml:space="preserve">Requests for new bank accounts must be submitted to either Regional or </w:t>
      </w:r>
      <w:r w:rsidR="00417ADC" w:rsidRPr="00625FDB">
        <w:t>Corporate Treasury</w:t>
      </w:r>
      <w:r w:rsidR="0017674B">
        <w:t xml:space="preserve"> Management and the</w:t>
      </w:r>
      <w:r w:rsidRPr="00625FDB">
        <w:t xml:space="preserve"> decision to open a bank account will be at the discretion of regional CFO’s or Corporate Treasury.</w:t>
      </w:r>
    </w:p>
    <w:p w:rsidR="0085595F" w:rsidRPr="0085595F" w:rsidRDefault="0085595F" w:rsidP="00097693">
      <w:pPr>
        <w:autoSpaceDE w:val="0"/>
        <w:autoSpaceDN w:val="0"/>
        <w:adjustRightInd w:val="0"/>
        <w:rPr>
          <w:b/>
          <w:sz w:val="24"/>
          <w:szCs w:val="24"/>
        </w:rPr>
      </w:pPr>
      <w:r w:rsidRPr="0085595F">
        <w:rPr>
          <w:b/>
          <w:color w:val="1F497D" w:themeColor="text2"/>
          <w:sz w:val="24"/>
          <w:szCs w:val="24"/>
        </w:rPr>
        <w:t>120.31Authorized S</w:t>
      </w:r>
      <w:r w:rsidR="001C59CA" w:rsidRPr="0085595F">
        <w:rPr>
          <w:b/>
          <w:color w:val="1F497D" w:themeColor="text2"/>
          <w:sz w:val="24"/>
          <w:szCs w:val="24"/>
        </w:rPr>
        <w:t>igners</w:t>
      </w:r>
      <w:r w:rsidR="001C59CA" w:rsidRPr="0085595F">
        <w:rPr>
          <w:b/>
          <w:sz w:val="24"/>
          <w:szCs w:val="24"/>
        </w:rPr>
        <w:t xml:space="preserve">: </w:t>
      </w:r>
    </w:p>
    <w:p w:rsidR="001C59CA" w:rsidRDefault="001C59CA" w:rsidP="00097693">
      <w:pPr>
        <w:autoSpaceDE w:val="0"/>
        <w:autoSpaceDN w:val="0"/>
        <w:adjustRightInd w:val="0"/>
      </w:pPr>
      <w:r>
        <w:t>All bank signatories must*</w:t>
      </w:r>
      <w:r w:rsidRPr="00625FDB">
        <w:t xml:space="preserve"> be Samsonite employees and one of the authorized signers for each account must include one of the following: The CFO of Samsonite International SA, The Assistant Treasurer of Samsonite LLC, or the CFO of the America’s, or Samsonite Europe or Samsonite Asia unless other arrangements are approved in writing by the CFO of Samsonite International SA or the Assistant Treasurer of Samsonite LLC. </w:t>
      </w:r>
    </w:p>
    <w:p w:rsidR="001C59CA" w:rsidRPr="00625FDB" w:rsidRDefault="001C59CA" w:rsidP="001C59CA">
      <w:pPr>
        <w:pStyle w:val="ListParagraph"/>
        <w:autoSpaceDE w:val="0"/>
        <w:autoSpaceDN w:val="0"/>
        <w:adjustRightInd w:val="0"/>
        <w:ind w:left="1440"/>
      </w:pPr>
      <w:r>
        <w:t>*Prior approval by the CFO of Samsonite International SA or the Assistant Treasurer of Samsonite LLC must be obtained before adding a non Samsonite employee as a signatory. An explanation supporting reason</w:t>
      </w:r>
      <w:r w:rsidR="008E0D34">
        <w:t>s</w:t>
      </w:r>
      <w:r>
        <w:t xml:space="preserve"> for adding the individual should accompany the approval request. </w:t>
      </w:r>
    </w:p>
    <w:p w:rsidR="001C59CA" w:rsidRPr="00097693" w:rsidRDefault="001C59CA" w:rsidP="00097693">
      <w:pPr>
        <w:autoSpaceDE w:val="0"/>
        <w:autoSpaceDN w:val="0"/>
        <w:adjustRightInd w:val="0"/>
        <w:rPr>
          <w:rFonts w:ascii="Arial" w:hAnsi="Arial" w:cs="Arial"/>
        </w:rPr>
      </w:pPr>
      <w:r w:rsidRPr="00625FDB">
        <w:t>All Samsonite bank accounts must either have the appropriate Samsonite Employer Identification Number (US) or the equivalent as consistent with the applicable laws of the local jurisdiction where the Samsonite entity is registered to conduct business</w:t>
      </w:r>
      <w:r w:rsidRPr="00097693">
        <w:rPr>
          <w:rFonts w:ascii="Arial" w:hAnsi="Arial" w:cs="Arial"/>
        </w:rPr>
        <w:t xml:space="preserve">. </w:t>
      </w:r>
    </w:p>
    <w:p w:rsidR="001C59CA" w:rsidRDefault="001C59CA" w:rsidP="001C59CA">
      <w:pPr>
        <w:pStyle w:val="ListParagraph"/>
        <w:autoSpaceDE w:val="0"/>
        <w:autoSpaceDN w:val="0"/>
        <w:adjustRightInd w:val="0"/>
        <w:rPr>
          <w:rFonts w:ascii="Arial" w:hAnsi="Arial" w:cs="Arial"/>
          <w:b/>
          <w:bCs/>
        </w:rPr>
      </w:pPr>
    </w:p>
    <w:p w:rsidR="001C59CA" w:rsidRPr="00625FDB" w:rsidRDefault="00D91638" w:rsidP="00097693">
      <w:pPr>
        <w:autoSpaceDE w:val="0"/>
        <w:autoSpaceDN w:val="0"/>
        <w:adjustRightInd w:val="0"/>
        <w:rPr>
          <w:rFonts w:ascii="Arial" w:hAnsi="Arial" w:cs="Arial"/>
          <w:b/>
          <w:bCs/>
        </w:rPr>
      </w:pPr>
      <w:r w:rsidRPr="00097693">
        <w:rPr>
          <w:b/>
          <w:bCs/>
          <w:color w:val="1F497D" w:themeColor="text2"/>
          <w:sz w:val="24"/>
          <w:szCs w:val="24"/>
        </w:rPr>
        <w:t>120.4</w:t>
      </w:r>
      <w:r w:rsidR="001C59CA" w:rsidRPr="00097693">
        <w:rPr>
          <w:b/>
          <w:bCs/>
          <w:color w:val="1F497D" w:themeColor="text2"/>
          <w:sz w:val="24"/>
          <w:szCs w:val="24"/>
        </w:rPr>
        <w:t xml:space="preserve"> Reconciling Bank Accounts</w:t>
      </w:r>
    </w:p>
    <w:p w:rsidR="001C59CA" w:rsidRPr="00097693" w:rsidRDefault="001C59CA" w:rsidP="00097693">
      <w:pPr>
        <w:autoSpaceDE w:val="0"/>
        <w:autoSpaceDN w:val="0"/>
        <w:adjustRightInd w:val="0"/>
        <w:rPr>
          <w:b/>
          <w:bCs/>
        </w:rPr>
      </w:pPr>
      <w:r w:rsidRPr="0008272C">
        <w:t xml:space="preserve">All bank accounts must be reconciled monthly. The individual reconciling the bank account must be different than account authorized signers or individuals with access to the account. </w:t>
      </w:r>
    </w:p>
    <w:p w:rsidR="00097693" w:rsidRPr="0008272C" w:rsidRDefault="00097693" w:rsidP="00097693">
      <w:pPr>
        <w:pStyle w:val="ListParagraph"/>
        <w:autoSpaceDE w:val="0"/>
        <w:autoSpaceDN w:val="0"/>
        <w:adjustRightInd w:val="0"/>
        <w:rPr>
          <w:b/>
          <w:bCs/>
        </w:rPr>
      </w:pPr>
    </w:p>
    <w:p w:rsidR="001C59CA" w:rsidRPr="00576746" w:rsidRDefault="00D91638" w:rsidP="00097693">
      <w:pPr>
        <w:autoSpaceDE w:val="0"/>
        <w:autoSpaceDN w:val="0"/>
        <w:adjustRightInd w:val="0"/>
        <w:rPr>
          <w:b/>
          <w:bCs/>
          <w:color w:val="1F497D" w:themeColor="text2"/>
          <w:sz w:val="24"/>
          <w:szCs w:val="24"/>
        </w:rPr>
      </w:pPr>
      <w:r w:rsidRPr="00097693">
        <w:rPr>
          <w:b/>
          <w:bCs/>
          <w:color w:val="1F497D" w:themeColor="text2"/>
          <w:sz w:val="24"/>
          <w:szCs w:val="24"/>
        </w:rPr>
        <w:t>120.5</w:t>
      </w:r>
      <w:r w:rsidR="001C59CA" w:rsidRPr="00097693">
        <w:rPr>
          <w:b/>
          <w:bCs/>
          <w:color w:val="1F497D" w:themeColor="text2"/>
          <w:sz w:val="24"/>
          <w:szCs w:val="24"/>
        </w:rPr>
        <w:t xml:space="preserve"> Closing Bank Accounts</w:t>
      </w:r>
    </w:p>
    <w:p w:rsidR="001C59CA" w:rsidRDefault="001C59CA" w:rsidP="00097693">
      <w:pPr>
        <w:autoSpaceDE w:val="0"/>
        <w:autoSpaceDN w:val="0"/>
        <w:adjustRightInd w:val="0"/>
      </w:pPr>
      <w:r w:rsidRPr="0008272C">
        <w:t>Requests to close a bank account must be submitted to either Regional or Corporate  Treasury Management and the decision to close a bank account will be at the discretion of regional CFO’s or Corporate Treasury</w:t>
      </w:r>
    </w:p>
    <w:p w:rsidR="00097693" w:rsidRDefault="00097693" w:rsidP="00097693">
      <w:pPr>
        <w:autoSpaceDE w:val="0"/>
        <w:autoSpaceDN w:val="0"/>
        <w:adjustRightInd w:val="0"/>
      </w:pPr>
    </w:p>
    <w:p w:rsidR="00097693" w:rsidRDefault="00097693" w:rsidP="00097693">
      <w:pPr>
        <w:autoSpaceDE w:val="0"/>
        <w:autoSpaceDN w:val="0"/>
        <w:adjustRightInd w:val="0"/>
      </w:pPr>
    </w:p>
    <w:p w:rsidR="00097693" w:rsidRPr="00097693" w:rsidRDefault="00097693" w:rsidP="00097693">
      <w:pPr>
        <w:autoSpaceDE w:val="0"/>
        <w:autoSpaceDN w:val="0"/>
        <w:adjustRightInd w:val="0"/>
        <w:rPr>
          <w:b/>
          <w:bCs/>
        </w:rPr>
      </w:pPr>
    </w:p>
    <w:p w:rsidR="001C59CA" w:rsidRPr="00097693" w:rsidRDefault="00D91638" w:rsidP="00097693">
      <w:pPr>
        <w:autoSpaceDE w:val="0"/>
        <w:autoSpaceDN w:val="0"/>
        <w:adjustRightInd w:val="0"/>
        <w:rPr>
          <w:b/>
          <w:bCs/>
          <w:color w:val="1F497D" w:themeColor="text2"/>
          <w:sz w:val="24"/>
          <w:szCs w:val="24"/>
        </w:rPr>
      </w:pPr>
      <w:r w:rsidRPr="00097693">
        <w:rPr>
          <w:b/>
          <w:bCs/>
          <w:color w:val="1F497D" w:themeColor="text2"/>
          <w:sz w:val="24"/>
          <w:szCs w:val="24"/>
        </w:rPr>
        <w:t>120.6</w:t>
      </w:r>
      <w:r w:rsidR="001C59CA" w:rsidRPr="00097693">
        <w:rPr>
          <w:b/>
          <w:bCs/>
          <w:color w:val="1F497D" w:themeColor="text2"/>
          <w:sz w:val="24"/>
          <w:szCs w:val="24"/>
        </w:rPr>
        <w:t xml:space="preserve"> Samsonite Bank Account Authority</w:t>
      </w:r>
    </w:p>
    <w:p w:rsidR="001C59CA" w:rsidRPr="00097693" w:rsidRDefault="001C59CA" w:rsidP="00097693">
      <w:pPr>
        <w:autoSpaceDE w:val="0"/>
        <w:autoSpaceDN w:val="0"/>
        <w:adjustRightInd w:val="0"/>
        <w:rPr>
          <w:b/>
          <w:bCs/>
        </w:rPr>
      </w:pPr>
      <w:r w:rsidRPr="0008272C">
        <w:t>Corporate Treasury and</w:t>
      </w:r>
      <w:r>
        <w:t xml:space="preserve"> /</w:t>
      </w:r>
      <w:r w:rsidRPr="0008272C">
        <w:t xml:space="preserve"> or regional CFO’s reserve the right and have the authority to suspend or close any bank account, as well as to change authorized signers at any time. All Samsonite bank accounts are to be reviewed at least annually by Corporate Treasury or regional CFO’s personnel to ensure compliance with Samsonite’s policies and to evaluate the continuing need/business purpose for the accounts. Bank accounts that are no longer needed to support the activity for which the account was established will be recommended to be closed.</w:t>
      </w:r>
    </w:p>
    <w:p w:rsidR="001C59CA" w:rsidRPr="00097693" w:rsidRDefault="00D91638" w:rsidP="00097693">
      <w:pPr>
        <w:autoSpaceDE w:val="0"/>
        <w:autoSpaceDN w:val="0"/>
        <w:adjustRightInd w:val="0"/>
        <w:rPr>
          <w:b/>
          <w:bCs/>
          <w:color w:val="1F497D" w:themeColor="text2"/>
          <w:sz w:val="24"/>
          <w:szCs w:val="24"/>
        </w:rPr>
      </w:pPr>
      <w:r w:rsidRPr="00097693">
        <w:rPr>
          <w:b/>
          <w:bCs/>
          <w:color w:val="1F497D" w:themeColor="text2"/>
          <w:sz w:val="24"/>
          <w:szCs w:val="24"/>
        </w:rPr>
        <w:t>120.7</w:t>
      </w:r>
      <w:r w:rsidR="001C59CA" w:rsidRPr="00097693">
        <w:rPr>
          <w:b/>
          <w:bCs/>
          <w:color w:val="1F497D" w:themeColor="text2"/>
          <w:sz w:val="24"/>
          <w:szCs w:val="24"/>
        </w:rPr>
        <w:t xml:space="preserve"> CASH COLLECTIONS &amp; DEPOSITS</w:t>
      </w:r>
    </w:p>
    <w:p w:rsidR="001C59CA" w:rsidRPr="00097693" w:rsidRDefault="001C59CA" w:rsidP="00097693">
      <w:pPr>
        <w:autoSpaceDE w:val="0"/>
        <w:autoSpaceDN w:val="0"/>
        <w:adjustRightInd w:val="0"/>
        <w:rPr>
          <w:b/>
          <w:bCs/>
          <w:color w:val="003399"/>
          <w:sz w:val="24"/>
          <w:szCs w:val="24"/>
        </w:rPr>
      </w:pPr>
      <w:r w:rsidRPr="009049EE">
        <w:t xml:space="preserve">This section of the document defines and outlines Samsonite’s policy with respect to the handling, receiving and depositing of </w:t>
      </w:r>
      <w:r w:rsidRPr="00097693">
        <w:rPr>
          <w:iCs/>
        </w:rPr>
        <w:t>cash</w:t>
      </w:r>
      <w:r w:rsidRPr="009049EE">
        <w:t xml:space="preserve">. The term </w:t>
      </w:r>
      <w:r w:rsidRPr="00097693">
        <w:rPr>
          <w:iCs/>
        </w:rPr>
        <w:t xml:space="preserve">cash </w:t>
      </w:r>
      <w:r w:rsidRPr="009049EE">
        <w:t>includes currency, checks, money orders, negotiable instruments and charge card transactions</w:t>
      </w:r>
    </w:p>
    <w:p w:rsidR="001C59CA" w:rsidRPr="00576746" w:rsidRDefault="00097693" w:rsidP="00097693">
      <w:pPr>
        <w:pStyle w:val="Default"/>
        <w:rPr>
          <w:b/>
          <w:bCs/>
          <w:color w:val="1F497D" w:themeColor="text2"/>
        </w:rPr>
      </w:pPr>
      <w:r>
        <w:rPr>
          <w:b/>
          <w:bCs/>
          <w:color w:val="1F497D" w:themeColor="text2"/>
        </w:rPr>
        <w:t>1</w:t>
      </w:r>
      <w:r w:rsidR="00D91638">
        <w:rPr>
          <w:b/>
          <w:bCs/>
          <w:color w:val="1F497D" w:themeColor="text2"/>
        </w:rPr>
        <w:t>20.</w:t>
      </w:r>
      <w:r>
        <w:rPr>
          <w:b/>
          <w:bCs/>
          <w:color w:val="1F497D" w:themeColor="text2"/>
        </w:rPr>
        <w:t>71</w:t>
      </w:r>
      <w:r w:rsidR="001C59CA" w:rsidRPr="00576746">
        <w:rPr>
          <w:b/>
          <w:bCs/>
          <w:color w:val="1F497D" w:themeColor="text2"/>
        </w:rPr>
        <w:t xml:space="preserve"> Segregation of Duties </w:t>
      </w:r>
    </w:p>
    <w:p w:rsidR="001C59CA" w:rsidRPr="00576746" w:rsidRDefault="001C59CA" w:rsidP="001C59CA">
      <w:pPr>
        <w:pStyle w:val="Default"/>
        <w:ind w:firstLine="720"/>
        <w:rPr>
          <w:color w:val="1F497D" w:themeColor="text2"/>
        </w:rPr>
      </w:pPr>
    </w:p>
    <w:p w:rsidR="001C59CA" w:rsidRPr="00380295" w:rsidRDefault="001C59CA" w:rsidP="00097693">
      <w:pPr>
        <w:pStyle w:val="Default"/>
        <w:rPr>
          <w:sz w:val="22"/>
          <w:szCs w:val="22"/>
        </w:rPr>
      </w:pPr>
      <w:r w:rsidRPr="00380295">
        <w:rPr>
          <w:sz w:val="22"/>
          <w:szCs w:val="22"/>
        </w:rPr>
        <w:t xml:space="preserve">There must be a separation of duties between the person receiving </w:t>
      </w:r>
      <w:r w:rsidRPr="00380295">
        <w:rPr>
          <w:iCs/>
          <w:sz w:val="22"/>
          <w:szCs w:val="22"/>
        </w:rPr>
        <w:t xml:space="preserve">cash </w:t>
      </w:r>
      <w:r w:rsidRPr="00380295">
        <w:rPr>
          <w:sz w:val="22"/>
          <w:szCs w:val="22"/>
        </w:rPr>
        <w:t xml:space="preserve">and the person responsible for maintaining the accounting records (e.g., Samsonite </w:t>
      </w:r>
      <w:r w:rsidRPr="00380295">
        <w:rPr>
          <w:iCs/>
          <w:sz w:val="22"/>
          <w:szCs w:val="22"/>
        </w:rPr>
        <w:t>General Ledger</w:t>
      </w:r>
      <w:r w:rsidRPr="00380295">
        <w:rPr>
          <w:sz w:val="22"/>
          <w:szCs w:val="22"/>
        </w:rPr>
        <w:t xml:space="preserve">, department billing, </w:t>
      </w:r>
      <w:r w:rsidRPr="00380295">
        <w:rPr>
          <w:iCs/>
          <w:sz w:val="22"/>
          <w:szCs w:val="22"/>
        </w:rPr>
        <w:t>Accounts Receivable/ Accounts Payable</w:t>
      </w:r>
      <w:r w:rsidRPr="00380295">
        <w:rPr>
          <w:sz w:val="22"/>
          <w:szCs w:val="22"/>
        </w:rPr>
        <w:t>).</w:t>
      </w:r>
    </w:p>
    <w:p w:rsidR="00DA40EB" w:rsidRDefault="00DA40EB" w:rsidP="00097693">
      <w:pPr>
        <w:pStyle w:val="Default"/>
        <w:rPr>
          <w:iCs/>
          <w:sz w:val="22"/>
          <w:szCs w:val="22"/>
        </w:rPr>
      </w:pPr>
    </w:p>
    <w:p w:rsidR="00DA40EB" w:rsidRPr="00DA40EB" w:rsidRDefault="00DA40EB" w:rsidP="00097693">
      <w:pPr>
        <w:pStyle w:val="Default"/>
        <w:rPr>
          <w:b/>
          <w:iCs/>
          <w:color w:val="1F497D" w:themeColor="text2"/>
        </w:rPr>
      </w:pPr>
      <w:r w:rsidRPr="00DA40EB">
        <w:rPr>
          <w:b/>
          <w:iCs/>
          <w:color w:val="1F497D" w:themeColor="text2"/>
        </w:rPr>
        <w:t>120.72 Cash Reconciliation</w:t>
      </w:r>
    </w:p>
    <w:p w:rsidR="00DA40EB" w:rsidRDefault="00DA40EB" w:rsidP="00097693">
      <w:pPr>
        <w:pStyle w:val="Default"/>
        <w:rPr>
          <w:iCs/>
          <w:sz w:val="22"/>
          <w:szCs w:val="22"/>
        </w:rPr>
      </w:pPr>
    </w:p>
    <w:p w:rsidR="001C59CA" w:rsidRDefault="001C59CA" w:rsidP="00097693">
      <w:pPr>
        <w:pStyle w:val="Default"/>
        <w:rPr>
          <w:sz w:val="22"/>
          <w:szCs w:val="22"/>
        </w:rPr>
      </w:pPr>
      <w:r w:rsidRPr="00380295">
        <w:rPr>
          <w:iCs/>
          <w:sz w:val="22"/>
          <w:szCs w:val="22"/>
        </w:rPr>
        <w:t xml:space="preserve">Store cash </w:t>
      </w:r>
      <w:r w:rsidRPr="00380295">
        <w:rPr>
          <w:sz w:val="22"/>
          <w:szCs w:val="22"/>
        </w:rPr>
        <w:t xml:space="preserve">receipt activity should be reconciled daily and deposited as soon as practical and account receivable activity should be </w:t>
      </w:r>
      <w:r w:rsidRPr="00380295">
        <w:rPr>
          <w:iCs/>
          <w:sz w:val="22"/>
          <w:szCs w:val="22"/>
        </w:rPr>
        <w:t xml:space="preserve">reconciled </w:t>
      </w:r>
      <w:r w:rsidRPr="00380295">
        <w:rPr>
          <w:sz w:val="22"/>
          <w:szCs w:val="22"/>
        </w:rPr>
        <w:t xml:space="preserve">monthly. The reconciliation should be reviewed by someone independent of the </w:t>
      </w:r>
      <w:r w:rsidRPr="00380295">
        <w:rPr>
          <w:iCs/>
          <w:sz w:val="22"/>
          <w:szCs w:val="22"/>
        </w:rPr>
        <w:t xml:space="preserve">cash </w:t>
      </w:r>
      <w:r w:rsidRPr="00380295">
        <w:rPr>
          <w:sz w:val="22"/>
          <w:szCs w:val="22"/>
        </w:rPr>
        <w:t xml:space="preserve">handling or recording functions. </w:t>
      </w:r>
    </w:p>
    <w:p w:rsidR="001C59CA" w:rsidRDefault="001C59CA" w:rsidP="001C59CA">
      <w:pPr>
        <w:pStyle w:val="Default"/>
        <w:rPr>
          <w:bCs/>
          <w:sz w:val="22"/>
          <w:szCs w:val="22"/>
        </w:rPr>
      </w:pPr>
    </w:p>
    <w:p w:rsidR="001C59CA" w:rsidRDefault="00D91638" w:rsidP="00097693">
      <w:pPr>
        <w:pStyle w:val="Default"/>
        <w:rPr>
          <w:b/>
          <w:bCs/>
          <w:color w:val="1F497D" w:themeColor="text2"/>
        </w:rPr>
      </w:pPr>
      <w:r>
        <w:rPr>
          <w:b/>
          <w:bCs/>
          <w:color w:val="1F497D" w:themeColor="text2"/>
        </w:rPr>
        <w:t>120.</w:t>
      </w:r>
      <w:r w:rsidR="00DA40EB">
        <w:rPr>
          <w:b/>
          <w:bCs/>
          <w:color w:val="1F497D" w:themeColor="text2"/>
        </w:rPr>
        <w:t>73</w:t>
      </w:r>
      <w:r w:rsidR="001C59CA">
        <w:rPr>
          <w:b/>
          <w:bCs/>
          <w:color w:val="1F497D" w:themeColor="text2"/>
        </w:rPr>
        <w:t xml:space="preserve"> </w:t>
      </w:r>
      <w:r w:rsidR="001C59CA" w:rsidRPr="00576746">
        <w:rPr>
          <w:b/>
          <w:bCs/>
          <w:color w:val="1F497D" w:themeColor="text2"/>
        </w:rPr>
        <w:t xml:space="preserve">Safekeeping of Funds </w:t>
      </w:r>
    </w:p>
    <w:p w:rsidR="00097693" w:rsidRPr="00576746" w:rsidRDefault="00097693" w:rsidP="00097693">
      <w:pPr>
        <w:pStyle w:val="Default"/>
        <w:rPr>
          <w:color w:val="1F497D" w:themeColor="text2"/>
        </w:rPr>
      </w:pPr>
    </w:p>
    <w:p w:rsidR="001C59CA" w:rsidRPr="004D4D31" w:rsidRDefault="001C59CA" w:rsidP="00097693">
      <w:pPr>
        <w:pStyle w:val="Default"/>
        <w:rPr>
          <w:sz w:val="22"/>
          <w:szCs w:val="22"/>
        </w:rPr>
      </w:pPr>
      <w:r w:rsidRPr="004D4D31">
        <w:rPr>
          <w:sz w:val="22"/>
          <w:szCs w:val="22"/>
        </w:rPr>
        <w:t xml:space="preserve">All forms of </w:t>
      </w:r>
      <w:r w:rsidRPr="004D4D31">
        <w:rPr>
          <w:iCs/>
          <w:sz w:val="22"/>
          <w:szCs w:val="22"/>
        </w:rPr>
        <w:t>Cash (</w:t>
      </w:r>
      <w:r w:rsidRPr="004D4D31">
        <w:rPr>
          <w:sz w:val="22"/>
          <w:szCs w:val="22"/>
        </w:rPr>
        <w:t>currency, checks, money orders, negotiable instruments and charge card transactions) should be physically protected</w:t>
      </w:r>
      <w:r>
        <w:rPr>
          <w:sz w:val="22"/>
          <w:szCs w:val="22"/>
        </w:rPr>
        <w:t>.</w:t>
      </w:r>
      <w:r w:rsidRPr="004D4D31">
        <w:rPr>
          <w:sz w:val="22"/>
          <w:szCs w:val="22"/>
        </w:rPr>
        <w:t xml:space="preserve"> It is the responsibility of each company store / department to make whatever provisions are necessary to properly safeguard the cash in their area. </w:t>
      </w:r>
    </w:p>
    <w:p w:rsidR="001C59CA" w:rsidRPr="004D4D31" w:rsidRDefault="001C59CA" w:rsidP="001C59CA">
      <w:pPr>
        <w:pStyle w:val="Default"/>
        <w:rPr>
          <w:b/>
          <w:bCs/>
          <w:sz w:val="22"/>
          <w:szCs w:val="22"/>
        </w:rPr>
      </w:pPr>
    </w:p>
    <w:p w:rsidR="001C59CA" w:rsidRDefault="00097693" w:rsidP="00097693">
      <w:pPr>
        <w:pStyle w:val="Default"/>
        <w:rPr>
          <w:b/>
          <w:bCs/>
          <w:color w:val="1F497D" w:themeColor="text2"/>
        </w:rPr>
      </w:pPr>
      <w:r>
        <w:rPr>
          <w:b/>
          <w:bCs/>
          <w:color w:val="1F497D" w:themeColor="text2"/>
        </w:rPr>
        <w:t>120.</w:t>
      </w:r>
      <w:r w:rsidR="00DA40EB">
        <w:rPr>
          <w:b/>
          <w:bCs/>
          <w:color w:val="1F497D" w:themeColor="text2"/>
        </w:rPr>
        <w:t>74</w:t>
      </w:r>
      <w:r w:rsidR="001C59CA" w:rsidRPr="00576746">
        <w:rPr>
          <w:b/>
          <w:bCs/>
          <w:color w:val="1F497D" w:themeColor="text2"/>
        </w:rPr>
        <w:t xml:space="preserve"> Transfer of Accountability – </w:t>
      </w:r>
      <w:r w:rsidR="00CD1F4C" w:rsidRPr="00576746">
        <w:rPr>
          <w:b/>
          <w:bCs/>
          <w:color w:val="1F497D" w:themeColor="text2"/>
        </w:rPr>
        <w:t>Cash</w:t>
      </w:r>
      <w:r w:rsidR="001C59CA" w:rsidRPr="00576746">
        <w:rPr>
          <w:b/>
          <w:bCs/>
          <w:color w:val="1F497D" w:themeColor="text2"/>
        </w:rPr>
        <w:t xml:space="preserve"> Deposits</w:t>
      </w:r>
    </w:p>
    <w:p w:rsidR="00097693" w:rsidRPr="00576746" w:rsidRDefault="00097693" w:rsidP="00097693">
      <w:pPr>
        <w:pStyle w:val="Default"/>
        <w:rPr>
          <w:color w:val="1F497D" w:themeColor="text2"/>
        </w:rPr>
      </w:pPr>
    </w:p>
    <w:p w:rsidR="001C59CA" w:rsidRPr="004D4D31" w:rsidRDefault="001C59CA" w:rsidP="00097693">
      <w:pPr>
        <w:pStyle w:val="Default"/>
        <w:rPr>
          <w:sz w:val="22"/>
          <w:szCs w:val="22"/>
        </w:rPr>
      </w:pPr>
      <w:r w:rsidRPr="004D4D31">
        <w:rPr>
          <w:sz w:val="22"/>
          <w:szCs w:val="22"/>
        </w:rPr>
        <w:t xml:space="preserve">Transfer of accountability </w:t>
      </w:r>
      <w:r>
        <w:rPr>
          <w:sz w:val="22"/>
          <w:szCs w:val="22"/>
        </w:rPr>
        <w:t xml:space="preserve">should </w:t>
      </w:r>
      <w:r w:rsidRPr="004D4D31">
        <w:rPr>
          <w:sz w:val="22"/>
          <w:szCs w:val="22"/>
        </w:rPr>
        <w:t>be recorded</w:t>
      </w:r>
      <w:r>
        <w:rPr>
          <w:sz w:val="22"/>
          <w:szCs w:val="22"/>
        </w:rPr>
        <w:t xml:space="preserve"> in a log </w:t>
      </w:r>
      <w:r w:rsidRPr="004D4D31">
        <w:rPr>
          <w:sz w:val="22"/>
          <w:szCs w:val="22"/>
        </w:rPr>
        <w:t>if the deposit is not being transported by the person preparing the deposit. All documents should be maintained in such a manner as to provide suitable audit trail for all transactions</w:t>
      </w:r>
      <w:r>
        <w:rPr>
          <w:sz w:val="22"/>
          <w:szCs w:val="22"/>
        </w:rPr>
        <w:t xml:space="preserve"> for a reasonable business period</w:t>
      </w:r>
      <w:r w:rsidRPr="004D4D31">
        <w:rPr>
          <w:sz w:val="22"/>
          <w:szCs w:val="22"/>
        </w:rPr>
        <w:t xml:space="preserve">. </w:t>
      </w:r>
    </w:p>
    <w:p w:rsidR="001C59CA" w:rsidRDefault="001C59CA" w:rsidP="001C59CA">
      <w:pPr>
        <w:pStyle w:val="Default"/>
        <w:rPr>
          <w:b/>
          <w:bCs/>
          <w:sz w:val="22"/>
          <w:szCs w:val="22"/>
        </w:rPr>
      </w:pPr>
    </w:p>
    <w:p w:rsidR="001C59CA" w:rsidRDefault="00097693" w:rsidP="00097693">
      <w:pPr>
        <w:pStyle w:val="Default"/>
        <w:rPr>
          <w:b/>
          <w:bCs/>
          <w:color w:val="1F497D" w:themeColor="text2"/>
        </w:rPr>
      </w:pPr>
      <w:r>
        <w:rPr>
          <w:b/>
          <w:bCs/>
          <w:color w:val="1F497D" w:themeColor="text2"/>
        </w:rPr>
        <w:lastRenderedPageBreak/>
        <w:t>120.</w:t>
      </w:r>
      <w:r w:rsidR="00DA40EB">
        <w:rPr>
          <w:b/>
          <w:bCs/>
          <w:color w:val="1F497D" w:themeColor="text2"/>
        </w:rPr>
        <w:t>75</w:t>
      </w:r>
      <w:r w:rsidR="001C59CA" w:rsidRPr="00576746">
        <w:rPr>
          <w:b/>
          <w:bCs/>
          <w:color w:val="1F497D" w:themeColor="text2"/>
        </w:rPr>
        <w:t xml:space="preserve"> Personal Bank Accounts </w:t>
      </w:r>
    </w:p>
    <w:p w:rsidR="00097693" w:rsidRPr="00576746" w:rsidRDefault="00097693" w:rsidP="00097693">
      <w:pPr>
        <w:pStyle w:val="Default"/>
        <w:rPr>
          <w:color w:val="1F497D" w:themeColor="text2"/>
        </w:rPr>
      </w:pPr>
    </w:p>
    <w:p w:rsidR="001C59CA" w:rsidRDefault="001C59CA" w:rsidP="00097693">
      <w:pPr>
        <w:pStyle w:val="Default"/>
        <w:rPr>
          <w:sz w:val="22"/>
          <w:szCs w:val="22"/>
        </w:rPr>
      </w:pPr>
      <w:r>
        <w:rPr>
          <w:sz w:val="22"/>
          <w:szCs w:val="22"/>
        </w:rPr>
        <w:t>The use of personal checking accounts and/or other bank accounts by Samsonite personnel for the depositing of and/or safekeeping of Samsonite funds is strictly prohibited.</w:t>
      </w:r>
    </w:p>
    <w:p w:rsidR="001C59CA" w:rsidRDefault="001C59CA" w:rsidP="001C59CA">
      <w:pPr>
        <w:pStyle w:val="Default"/>
        <w:rPr>
          <w:b/>
          <w:bCs/>
          <w:sz w:val="22"/>
          <w:szCs w:val="22"/>
        </w:rPr>
      </w:pPr>
    </w:p>
    <w:p w:rsidR="001C59CA" w:rsidRPr="00F55224" w:rsidRDefault="001C59CA" w:rsidP="001C59CA">
      <w:pPr>
        <w:pStyle w:val="ListParagraph"/>
        <w:autoSpaceDE w:val="0"/>
        <w:autoSpaceDN w:val="0"/>
        <w:adjustRightInd w:val="0"/>
        <w:rPr>
          <w:rFonts w:ascii="Arial" w:hAnsi="Arial" w:cs="Arial"/>
          <w:b/>
          <w:bCs/>
          <w:color w:val="003399"/>
          <w:sz w:val="24"/>
          <w:szCs w:val="24"/>
        </w:rPr>
      </w:pPr>
    </w:p>
    <w:p w:rsidR="001C59CA" w:rsidRPr="00F55224" w:rsidRDefault="001C59CA" w:rsidP="001C59CA">
      <w:pPr>
        <w:pStyle w:val="ListParagraph"/>
        <w:autoSpaceDE w:val="0"/>
        <w:autoSpaceDN w:val="0"/>
        <w:adjustRightInd w:val="0"/>
        <w:rPr>
          <w:rFonts w:ascii="Arial" w:hAnsi="Arial" w:cs="Arial"/>
          <w:b/>
          <w:bCs/>
          <w:color w:val="003399"/>
          <w:sz w:val="24"/>
          <w:szCs w:val="24"/>
        </w:rPr>
      </w:pPr>
    </w:p>
    <w:p w:rsidR="001C59CA" w:rsidRPr="00625FDB" w:rsidRDefault="001C59CA" w:rsidP="001C59CA">
      <w:pPr>
        <w:pStyle w:val="ListParagraph"/>
        <w:autoSpaceDE w:val="0"/>
        <w:autoSpaceDN w:val="0"/>
        <w:adjustRightInd w:val="0"/>
        <w:rPr>
          <w:rFonts w:ascii="Arial" w:hAnsi="Arial" w:cs="Arial"/>
          <w:b/>
          <w:bCs/>
        </w:rPr>
      </w:pPr>
    </w:p>
    <w:p w:rsidR="001C59CA" w:rsidRPr="00625FDB" w:rsidRDefault="001C59CA" w:rsidP="001C59CA">
      <w:pPr>
        <w:pStyle w:val="ListParagraph"/>
        <w:autoSpaceDE w:val="0"/>
        <w:autoSpaceDN w:val="0"/>
        <w:adjustRightInd w:val="0"/>
        <w:ind w:left="1440"/>
        <w:rPr>
          <w:rFonts w:ascii="Arial" w:hAnsi="Arial" w:cs="Arial"/>
        </w:rPr>
      </w:pPr>
    </w:p>
    <w:p w:rsidR="001C59CA" w:rsidRPr="00625FDB" w:rsidRDefault="001C59CA" w:rsidP="001C59CA">
      <w:pPr>
        <w:autoSpaceDE w:val="0"/>
        <w:autoSpaceDN w:val="0"/>
        <w:adjustRightInd w:val="0"/>
      </w:pPr>
    </w:p>
    <w:p w:rsidR="001C59CA" w:rsidRDefault="001C59CA" w:rsidP="00E26086"/>
    <w:p w:rsidR="005628FB" w:rsidRDefault="005628FB" w:rsidP="00E26086"/>
    <w:p w:rsidR="005628FB" w:rsidRPr="00724D83" w:rsidRDefault="005628FB" w:rsidP="001303CF">
      <w:pPr>
        <w:sectPr w:rsidR="005628FB" w:rsidRPr="00724D83" w:rsidSect="006A1B4C">
          <w:headerReference w:type="default" r:id="rId13"/>
          <w:footerReference w:type="default" r:id="rId14"/>
          <w:pgSz w:w="12240" w:h="15840"/>
          <w:pgMar w:top="1440" w:right="1440" w:bottom="1440" w:left="1656" w:header="720" w:footer="720" w:gutter="0"/>
          <w:pgNumType w:start="1"/>
          <w:cols w:space="720"/>
          <w:noEndnote/>
        </w:sectPr>
      </w:pPr>
    </w:p>
    <w:p w:rsidR="005628FB" w:rsidRPr="00941B3A" w:rsidRDefault="005628FB" w:rsidP="006B40CE">
      <w:pPr>
        <w:pStyle w:val="TOCHead"/>
      </w:pPr>
    </w:p>
    <w:sectPr w:rsidR="005628FB" w:rsidRPr="00941B3A" w:rsidSect="00AF3E2C">
      <w:headerReference w:type="default" r:id="rId15"/>
      <w:type w:val="continuous"/>
      <w:pgSz w:w="12240" w:h="15840"/>
      <w:pgMar w:top="1440" w:right="1440" w:bottom="1440" w:left="1656" w:header="720" w:footer="720" w:gutter="0"/>
      <w:pgNumType w:start="1"/>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53">
      <wne:acd wne:acdName="acd1"/>
    </wne:keymap>
    <wne:keymap wne:kcmPrimary="045A">
      <wne:acd wne:acdName="acd3"/>
    </wne:keymap>
    <wne:keymap wne:kcmPrimary="04C0">
      <wne:acd wne:acdName="acd2"/>
    </wne:keymap>
  </wne:keymaps>
  <wne:toolbars>
    <wne:acdManifest>
      <wne:acdEntry wne:acdName="acd0"/>
      <wne:acdEntry wne:acdName="acd1"/>
      <wne:acdEntry wne:acdName="acd2"/>
      <wne:acdEntry wne:acdName="acd3"/>
    </wne:acdManifest>
  </wne:toolbars>
  <wne:acds>
    <wne:acd wne:argValue="AgBUAGUAeAB0ADEAIABrAHcAbgA=" wne:acdName="acd0" wne:fciIndexBasedOn="0065"/>
    <wne:acd wne:argValue="AgBSAG8AdQBuAGQAIABCAHUAbABsAGUAdAAgAEwAYQBzAHQA" wne:acdName="acd1" wne:fciIndexBasedOn="0065"/>
    <wne:acd wne:argValue="AgBIAGUAYQBkADEA" wne:acdName="acd2" wne:fciIndexBasedOn="0065"/>
    <wne:acd wne:argValue="AgBUAGUAeAB0ADE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F13" w:rsidRPr="00847423" w:rsidRDefault="00EF0F13" w:rsidP="00847423">
      <w:pPr>
        <w:spacing w:after="0" w:line="240" w:lineRule="auto"/>
        <w:rPr>
          <w:rFonts w:ascii="Calibri" w:hAnsi="Calibri"/>
        </w:rPr>
      </w:pPr>
      <w:r>
        <w:separator/>
      </w:r>
    </w:p>
  </w:endnote>
  <w:endnote w:type="continuationSeparator" w:id="0">
    <w:p w:rsidR="00EF0F13" w:rsidRPr="00847423" w:rsidRDefault="00EF0F13" w:rsidP="00847423">
      <w:pPr>
        <w:spacing w:after="0" w:line="240" w:lineRule="auto"/>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13" w:rsidRPr="00847423" w:rsidRDefault="00310358" w:rsidP="008B3FD1">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F13" w:rsidRPr="00847423" w:rsidRDefault="00EF0F13" w:rsidP="00847423">
      <w:pPr>
        <w:spacing w:after="0" w:line="240" w:lineRule="auto"/>
        <w:rPr>
          <w:rFonts w:ascii="Calibri" w:hAnsi="Calibri"/>
        </w:rPr>
      </w:pPr>
      <w:r>
        <w:separator/>
      </w:r>
    </w:p>
  </w:footnote>
  <w:footnote w:type="continuationSeparator" w:id="0">
    <w:p w:rsidR="00EF0F13" w:rsidRPr="00847423" w:rsidRDefault="00EF0F13" w:rsidP="00847423">
      <w:pPr>
        <w:spacing w:after="0" w:line="240" w:lineRule="auto"/>
        <w:rPr>
          <w:rFonts w:ascii="Calibri" w:hAnsi="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2752"/>
      <w:gridCol w:w="3203"/>
      <w:gridCol w:w="3405"/>
    </w:tblGrid>
    <w:tr w:rsidR="00EF0F13" w:rsidRPr="000229A7" w:rsidTr="005144EB">
      <w:trPr>
        <w:trHeight w:val="690"/>
      </w:trPr>
      <w:tc>
        <w:tcPr>
          <w:tcW w:w="2752" w:type="dxa"/>
          <w:vMerge w:val="restart"/>
          <w:tcBorders>
            <w:top w:val="double" w:sz="4" w:space="0" w:color="000000"/>
            <w:left w:val="double" w:sz="4" w:space="0" w:color="000000"/>
            <w:right w:val="single" w:sz="4" w:space="0" w:color="000000"/>
          </w:tcBorders>
          <w:vAlign w:val="center"/>
        </w:tcPr>
        <w:p w:rsidR="00EF0F13" w:rsidRDefault="00EF0F13" w:rsidP="005144EB">
          <w:pPr>
            <w:pStyle w:val="Default"/>
            <w:jc w:val="center"/>
            <w:rPr>
              <w:b/>
              <w:color w:val="auto"/>
            </w:rPr>
          </w:pPr>
          <w:r>
            <w:rPr>
              <w:b/>
              <w:color w:val="auto"/>
            </w:rPr>
            <w:t>120.0</w:t>
          </w:r>
        </w:p>
        <w:p w:rsidR="00EF0F13" w:rsidRPr="0028799E" w:rsidRDefault="00EF0F13" w:rsidP="005144EB">
          <w:pPr>
            <w:pStyle w:val="Default"/>
            <w:jc w:val="center"/>
            <w:rPr>
              <w:b/>
              <w:color w:val="auto"/>
            </w:rPr>
          </w:pPr>
        </w:p>
      </w:tc>
      <w:tc>
        <w:tcPr>
          <w:tcW w:w="6608" w:type="dxa"/>
          <w:gridSpan w:val="2"/>
          <w:tcBorders>
            <w:top w:val="double" w:sz="4" w:space="0" w:color="000000"/>
            <w:left w:val="single" w:sz="4" w:space="0" w:color="000000"/>
            <w:bottom w:val="single" w:sz="4" w:space="0" w:color="000000"/>
            <w:right w:val="double" w:sz="4" w:space="0" w:color="000000"/>
          </w:tcBorders>
          <w:vAlign w:val="center"/>
        </w:tcPr>
        <w:p w:rsidR="00EF0F13" w:rsidRPr="000229A7" w:rsidRDefault="00EF0F13" w:rsidP="005144EB">
          <w:pPr>
            <w:pStyle w:val="Default"/>
            <w:jc w:val="center"/>
            <w:rPr>
              <w:b/>
              <w:sz w:val="22"/>
              <w:szCs w:val="22"/>
            </w:rPr>
          </w:pPr>
          <w:r w:rsidRPr="000229A7">
            <w:rPr>
              <w:b/>
              <w:sz w:val="22"/>
              <w:szCs w:val="22"/>
            </w:rPr>
            <w:t>INTERNATIONAL FINANCIAL REPORTING STANDARDS</w:t>
          </w:r>
        </w:p>
      </w:tc>
    </w:tr>
    <w:tr w:rsidR="00EF0F13" w:rsidRPr="000229A7" w:rsidTr="00234930">
      <w:trPr>
        <w:trHeight w:val="735"/>
      </w:trPr>
      <w:tc>
        <w:tcPr>
          <w:tcW w:w="2752" w:type="dxa"/>
          <w:vMerge/>
          <w:tcBorders>
            <w:left w:val="double" w:sz="4" w:space="0" w:color="000000"/>
            <w:bottom w:val="single" w:sz="4" w:space="0" w:color="auto"/>
            <w:right w:val="single" w:sz="4" w:space="0" w:color="000000"/>
          </w:tcBorders>
        </w:tcPr>
        <w:p w:rsidR="00EF0F13" w:rsidRPr="000229A7" w:rsidRDefault="00EF0F13" w:rsidP="005144EB">
          <w:pPr>
            <w:pStyle w:val="Default"/>
            <w:rPr>
              <w:color w:val="auto"/>
            </w:rPr>
          </w:pPr>
        </w:p>
      </w:tc>
      <w:tc>
        <w:tcPr>
          <w:tcW w:w="3203" w:type="dxa"/>
          <w:vMerge w:val="restart"/>
          <w:tcBorders>
            <w:top w:val="single" w:sz="4" w:space="0" w:color="000000"/>
            <w:left w:val="single" w:sz="4" w:space="0" w:color="000000"/>
            <w:bottom w:val="nil"/>
            <w:right w:val="single" w:sz="6" w:space="0" w:color="000000"/>
          </w:tcBorders>
          <w:vAlign w:val="center"/>
        </w:tcPr>
        <w:p w:rsidR="00EF0F13" w:rsidRPr="000229A7" w:rsidRDefault="00EF0F13" w:rsidP="005144EB">
          <w:pPr>
            <w:pStyle w:val="Default"/>
            <w:jc w:val="center"/>
            <w:rPr>
              <w:sz w:val="22"/>
              <w:szCs w:val="22"/>
            </w:rPr>
          </w:pPr>
          <w:r w:rsidRPr="000229A7">
            <w:rPr>
              <w:b/>
              <w:bCs/>
              <w:sz w:val="22"/>
              <w:szCs w:val="22"/>
            </w:rPr>
            <w:t>ACCOUNTING MANUAL</w:t>
          </w:r>
        </w:p>
      </w:tc>
      <w:tc>
        <w:tcPr>
          <w:tcW w:w="3405" w:type="dxa"/>
          <w:vMerge w:val="restart"/>
          <w:tcBorders>
            <w:top w:val="single" w:sz="6" w:space="0" w:color="000000"/>
            <w:left w:val="single" w:sz="6" w:space="0" w:color="000000"/>
            <w:bottom w:val="nil"/>
            <w:right w:val="double" w:sz="6" w:space="0" w:color="000000"/>
          </w:tcBorders>
          <w:vAlign w:val="center"/>
        </w:tcPr>
        <w:p w:rsidR="00EF0F13" w:rsidRPr="0028799E" w:rsidRDefault="00EF0F13" w:rsidP="001C59CA">
          <w:pPr>
            <w:pStyle w:val="Default"/>
            <w:jc w:val="center"/>
            <w:rPr>
              <w:b/>
              <w:color w:val="auto"/>
            </w:rPr>
          </w:pPr>
          <w:r>
            <w:rPr>
              <w:b/>
              <w:color w:val="auto"/>
            </w:rPr>
            <w:t>Cash</w:t>
          </w:r>
        </w:p>
      </w:tc>
    </w:tr>
    <w:tr w:rsidR="00EF0F13" w:rsidRPr="000229A7" w:rsidTr="00234930">
      <w:trPr>
        <w:trHeight w:val="396"/>
      </w:trPr>
      <w:tc>
        <w:tcPr>
          <w:tcW w:w="2752" w:type="dxa"/>
          <w:vMerge w:val="restart"/>
          <w:tcBorders>
            <w:top w:val="single" w:sz="4" w:space="0" w:color="auto"/>
            <w:left w:val="double" w:sz="4" w:space="0" w:color="000000"/>
            <w:right w:val="single" w:sz="4" w:space="0" w:color="000000"/>
          </w:tcBorders>
        </w:tcPr>
        <w:p w:rsidR="00EF0F13" w:rsidRPr="002E2534" w:rsidRDefault="00EF0F13" w:rsidP="005144EB">
          <w:pPr>
            <w:pStyle w:val="Default"/>
            <w:spacing w:before="120"/>
            <w:jc w:val="center"/>
            <w:rPr>
              <w:b/>
              <w:color w:val="auto"/>
            </w:rPr>
          </w:pPr>
          <w:r>
            <w:rPr>
              <w:b/>
              <w:color w:val="auto"/>
            </w:rPr>
            <w:t>FINANCIAL</w:t>
          </w:r>
          <w:r>
            <w:rPr>
              <w:b/>
              <w:color w:val="auto"/>
            </w:rPr>
            <w:br/>
            <w:t>MANUAL</w:t>
          </w:r>
        </w:p>
      </w:tc>
      <w:tc>
        <w:tcPr>
          <w:tcW w:w="3203" w:type="dxa"/>
          <w:vMerge/>
          <w:tcBorders>
            <w:left w:val="single" w:sz="4" w:space="0" w:color="000000"/>
            <w:right w:val="single" w:sz="6" w:space="0" w:color="000000"/>
          </w:tcBorders>
          <w:vAlign w:val="center"/>
        </w:tcPr>
        <w:p w:rsidR="00EF0F13" w:rsidRPr="000229A7" w:rsidRDefault="00EF0F13" w:rsidP="005144EB">
          <w:pPr>
            <w:pStyle w:val="Default"/>
            <w:jc w:val="center"/>
            <w:rPr>
              <w:b/>
              <w:bCs/>
              <w:sz w:val="22"/>
              <w:szCs w:val="22"/>
            </w:rPr>
          </w:pPr>
        </w:p>
      </w:tc>
      <w:tc>
        <w:tcPr>
          <w:tcW w:w="3405" w:type="dxa"/>
          <w:vMerge/>
          <w:tcBorders>
            <w:left w:val="single" w:sz="6" w:space="0" w:color="000000"/>
            <w:bottom w:val="single" w:sz="4" w:space="0" w:color="000000"/>
            <w:right w:val="double" w:sz="6" w:space="0" w:color="000000"/>
          </w:tcBorders>
        </w:tcPr>
        <w:p w:rsidR="00EF0F13" w:rsidRPr="000229A7" w:rsidRDefault="00EF0F13" w:rsidP="005144EB">
          <w:pPr>
            <w:pStyle w:val="Default"/>
            <w:jc w:val="center"/>
            <w:rPr>
              <w:b/>
              <w:bCs/>
              <w:sz w:val="22"/>
              <w:szCs w:val="22"/>
            </w:rPr>
          </w:pPr>
        </w:p>
      </w:tc>
    </w:tr>
    <w:tr w:rsidR="00EF0F13" w:rsidRPr="000229A7" w:rsidTr="005144EB">
      <w:trPr>
        <w:trHeight w:val="275"/>
      </w:trPr>
      <w:tc>
        <w:tcPr>
          <w:tcW w:w="2752" w:type="dxa"/>
          <w:vMerge/>
          <w:tcBorders>
            <w:left w:val="double" w:sz="4" w:space="0" w:color="000000"/>
            <w:bottom w:val="double" w:sz="4" w:space="0" w:color="000000"/>
            <w:right w:val="single" w:sz="4" w:space="0" w:color="000000"/>
          </w:tcBorders>
        </w:tcPr>
        <w:p w:rsidR="00EF0F13" w:rsidRPr="000229A7" w:rsidRDefault="00EF0F13" w:rsidP="005144EB">
          <w:pPr>
            <w:pStyle w:val="Default"/>
            <w:rPr>
              <w:color w:val="auto"/>
            </w:rPr>
          </w:pPr>
        </w:p>
      </w:tc>
      <w:tc>
        <w:tcPr>
          <w:tcW w:w="3203" w:type="dxa"/>
          <w:vMerge/>
          <w:tcBorders>
            <w:left w:val="single" w:sz="4" w:space="0" w:color="000000"/>
            <w:bottom w:val="double" w:sz="4" w:space="0" w:color="000000"/>
            <w:right w:val="single" w:sz="4" w:space="0" w:color="000000"/>
          </w:tcBorders>
          <w:vAlign w:val="center"/>
        </w:tcPr>
        <w:p w:rsidR="00EF0F13" w:rsidRPr="000229A7" w:rsidRDefault="00EF0F13" w:rsidP="005144EB">
          <w:pPr>
            <w:pStyle w:val="Default"/>
            <w:rPr>
              <w:color w:val="auto"/>
            </w:rPr>
          </w:pPr>
        </w:p>
      </w:tc>
      <w:tc>
        <w:tcPr>
          <w:tcW w:w="3405" w:type="dxa"/>
          <w:tcBorders>
            <w:top w:val="single" w:sz="4" w:space="0" w:color="000000"/>
            <w:left w:val="single" w:sz="4" w:space="0" w:color="000000"/>
            <w:bottom w:val="double" w:sz="4" w:space="0" w:color="000000"/>
            <w:right w:val="double" w:sz="4" w:space="0" w:color="000000"/>
          </w:tcBorders>
          <w:vAlign w:val="center"/>
        </w:tcPr>
        <w:p w:rsidR="00EF0F13" w:rsidRPr="002E2534" w:rsidRDefault="00EF0F13" w:rsidP="005144EB">
          <w:pPr>
            <w:pStyle w:val="Default"/>
            <w:jc w:val="center"/>
            <w:rPr>
              <w:b/>
              <w:bCs/>
              <w:sz w:val="20"/>
              <w:szCs w:val="20"/>
            </w:rPr>
          </w:pPr>
          <w:r>
            <w:rPr>
              <w:b/>
              <w:bCs/>
              <w:sz w:val="20"/>
              <w:szCs w:val="20"/>
            </w:rPr>
            <w:t>July 2013 – Version 1.0</w:t>
          </w:r>
        </w:p>
      </w:tc>
    </w:tr>
  </w:tbl>
  <w:p w:rsidR="00EF0F13" w:rsidRDefault="00EF0F1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13" w:rsidRPr="006B40CE" w:rsidRDefault="00EF0F13" w:rsidP="006B40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133"/>
    <w:multiLevelType w:val="hybridMultilevel"/>
    <w:tmpl w:val="20ACDD0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4604B3"/>
    <w:multiLevelType w:val="hybridMultilevel"/>
    <w:tmpl w:val="D1E02C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63EF9"/>
    <w:multiLevelType w:val="multilevel"/>
    <w:tmpl w:val="3C18E560"/>
    <w:lvl w:ilvl="0">
      <w:start w:val="14"/>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CC51969"/>
    <w:multiLevelType w:val="hybridMultilevel"/>
    <w:tmpl w:val="2220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45EF5"/>
    <w:multiLevelType w:val="hybridMultilevel"/>
    <w:tmpl w:val="3FFE4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F730F7"/>
    <w:multiLevelType w:val="multilevel"/>
    <w:tmpl w:val="766C72C4"/>
    <w:lvl w:ilvl="0">
      <w:start w:val="18"/>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22134D7"/>
    <w:multiLevelType w:val="hybridMultilevel"/>
    <w:tmpl w:val="ABE01ED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385ACA"/>
    <w:multiLevelType w:val="multilevel"/>
    <w:tmpl w:val="85D0E80E"/>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47B723A"/>
    <w:multiLevelType w:val="multilevel"/>
    <w:tmpl w:val="802EE1DA"/>
    <w:lvl w:ilvl="0">
      <w:start w:val="1"/>
      <w:numFmt w:val="decimal"/>
      <w:pStyle w:val="HeadingLevel1"/>
      <w:lvlText w:val="(%1)"/>
      <w:lvlJc w:val="left"/>
      <w:pPr>
        <w:tabs>
          <w:tab w:val="num" w:pos="547"/>
        </w:tabs>
        <w:ind w:left="547" w:hanging="547"/>
      </w:pPr>
      <w:rPr>
        <w:rFonts w:cs="Times New Roman" w:hint="default"/>
      </w:rPr>
    </w:lvl>
    <w:lvl w:ilvl="1">
      <w:start w:val="1"/>
      <w:numFmt w:val="lowerLetter"/>
      <w:pStyle w:val="HeadingLevel2"/>
      <w:lvlText w:val="(%2)"/>
      <w:lvlJc w:val="left"/>
      <w:pPr>
        <w:tabs>
          <w:tab w:val="num" w:pos="1094"/>
        </w:tabs>
        <w:ind w:left="1094" w:hanging="547"/>
      </w:pPr>
      <w:rPr>
        <w:rFonts w:cs="Times New Roman" w:hint="default"/>
        <w:b/>
        <w:i/>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15BF6422"/>
    <w:multiLevelType w:val="hybridMultilevel"/>
    <w:tmpl w:val="83B67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DF6D69"/>
    <w:multiLevelType w:val="hybridMultilevel"/>
    <w:tmpl w:val="94D63E86"/>
    <w:lvl w:ilvl="0" w:tplc="4A4CD8AC">
      <w:start w:val="1"/>
      <w:numFmt w:val="bullet"/>
      <w:lvlText w:val=""/>
      <w:lvlJc w:val="left"/>
      <w:pPr>
        <w:tabs>
          <w:tab w:val="num" w:pos="630"/>
        </w:tabs>
        <w:ind w:left="630" w:hanging="216"/>
      </w:pPr>
      <w:rPr>
        <w:rFonts w:ascii="Symbol" w:hAnsi="Symbol" w:hint="default"/>
        <w:color w:val="auto"/>
        <w:sz w:val="24"/>
      </w:rPr>
    </w:lvl>
    <w:lvl w:ilvl="1" w:tplc="D7FC6AB2">
      <w:start w:val="1"/>
      <w:numFmt w:val="bullet"/>
      <w:lvlText w:val=""/>
      <w:lvlJc w:val="left"/>
      <w:pPr>
        <w:tabs>
          <w:tab w:val="num" w:pos="1494"/>
        </w:tabs>
        <w:ind w:left="1494" w:hanging="360"/>
      </w:pPr>
      <w:rPr>
        <w:rFonts w:ascii="Wingdings" w:hAnsi="Wingdings" w:hint="default"/>
        <w:color w:val="auto"/>
        <w:sz w:val="18"/>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1">
    <w:nsid w:val="1D340E48"/>
    <w:multiLevelType w:val="hybridMultilevel"/>
    <w:tmpl w:val="2974C48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087105D"/>
    <w:multiLevelType w:val="hybridMultilevel"/>
    <w:tmpl w:val="E17CE0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F6E38"/>
    <w:multiLevelType w:val="hybridMultilevel"/>
    <w:tmpl w:val="6C685F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B52DC6"/>
    <w:multiLevelType w:val="hybridMultilevel"/>
    <w:tmpl w:val="8F868B56"/>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95620"/>
    <w:multiLevelType w:val="hybridMultilevel"/>
    <w:tmpl w:val="A38CC3FE"/>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6985A13"/>
    <w:multiLevelType w:val="multilevel"/>
    <w:tmpl w:val="CCFEE73E"/>
    <w:lvl w:ilvl="0">
      <w:start w:val="18"/>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26BA6C6B"/>
    <w:multiLevelType w:val="multilevel"/>
    <w:tmpl w:val="08669D96"/>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71800DF"/>
    <w:multiLevelType w:val="hybridMultilevel"/>
    <w:tmpl w:val="B434AF6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C005FD"/>
    <w:multiLevelType w:val="hybridMultilevel"/>
    <w:tmpl w:val="D8328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617340"/>
    <w:multiLevelType w:val="hybridMultilevel"/>
    <w:tmpl w:val="89D636D8"/>
    <w:lvl w:ilvl="0" w:tplc="7C30ABFA">
      <w:start w:val="1"/>
      <w:numFmt w:val="bullet"/>
      <w:pStyle w:val="Round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5852A310">
      <w:start w:val="3"/>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6B6E27"/>
    <w:multiLevelType w:val="hybridMultilevel"/>
    <w:tmpl w:val="21D0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D63858"/>
    <w:multiLevelType w:val="multilevel"/>
    <w:tmpl w:val="9A6A5E82"/>
    <w:lvl w:ilvl="0">
      <w:start w:val="3"/>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2E715D81"/>
    <w:multiLevelType w:val="hybridMultilevel"/>
    <w:tmpl w:val="CFC6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2C74BE6"/>
    <w:multiLevelType w:val="hybridMultilevel"/>
    <w:tmpl w:val="625E1B72"/>
    <w:lvl w:ilvl="0" w:tplc="E9C26490">
      <w:start w:val="1"/>
      <w:numFmt w:val="bullet"/>
      <w:pStyle w:val="Square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D741B2"/>
    <w:multiLevelType w:val="multilevel"/>
    <w:tmpl w:val="239C6ED2"/>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36B90E7C"/>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38794907"/>
    <w:multiLevelType w:val="hybridMultilevel"/>
    <w:tmpl w:val="AD3C47C8"/>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963C4D"/>
    <w:multiLevelType w:val="multilevel"/>
    <w:tmpl w:val="1BA62F0C"/>
    <w:lvl w:ilvl="0">
      <w:start w:val="19"/>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3BEE5597"/>
    <w:multiLevelType w:val="hybridMultilevel"/>
    <w:tmpl w:val="A530D2D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EF4B07"/>
    <w:multiLevelType w:val="hybridMultilevel"/>
    <w:tmpl w:val="3968B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FB40DA0"/>
    <w:multiLevelType w:val="hybridMultilevel"/>
    <w:tmpl w:val="AC5C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ED3D54"/>
    <w:multiLevelType w:val="hybridMultilevel"/>
    <w:tmpl w:val="E49A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0B18D0"/>
    <w:multiLevelType w:val="hybridMultilevel"/>
    <w:tmpl w:val="FE886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602D7D"/>
    <w:multiLevelType w:val="hybridMultilevel"/>
    <w:tmpl w:val="B6683BC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FE32F2"/>
    <w:multiLevelType w:val="hybridMultilevel"/>
    <w:tmpl w:val="5F524086"/>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F6F2634"/>
    <w:multiLevelType w:val="multilevel"/>
    <w:tmpl w:val="C898F974"/>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03E1811"/>
    <w:multiLevelType w:val="multilevel"/>
    <w:tmpl w:val="F9F27836"/>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start w:val="1"/>
      <w:numFmt w:val="decimal"/>
      <w:lvlText w:val="%1.5.2"/>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1706B12"/>
    <w:multiLevelType w:val="hybridMultilevel"/>
    <w:tmpl w:val="CE6458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32F6757"/>
    <w:multiLevelType w:val="hybridMultilevel"/>
    <w:tmpl w:val="814CEA16"/>
    <w:lvl w:ilvl="0" w:tplc="04090005">
      <w:start w:val="1"/>
      <w:numFmt w:val="bullet"/>
      <w:lvlText w:val=""/>
      <w:lvlJc w:val="left"/>
      <w:pPr>
        <w:tabs>
          <w:tab w:val="num" w:pos="900"/>
        </w:tabs>
        <w:ind w:left="90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291227"/>
    <w:multiLevelType w:val="multilevel"/>
    <w:tmpl w:val="292AB534"/>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numFmt w:val="decimal"/>
      <w:lvlText w:val="%1.5.1"/>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5AA10CD0"/>
    <w:multiLevelType w:val="hybridMultilevel"/>
    <w:tmpl w:val="6D108CFE"/>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AF10848"/>
    <w:multiLevelType w:val="multilevel"/>
    <w:tmpl w:val="CDA839EE"/>
    <w:lvl w:ilvl="0">
      <w:start w:val="17"/>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5C7E0622"/>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nsid w:val="5D2948E8"/>
    <w:multiLevelType w:val="hybridMultilevel"/>
    <w:tmpl w:val="C79C4668"/>
    <w:lvl w:ilvl="0" w:tplc="94142C3E">
      <w:start w:val="1"/>
      <w:numFmt w:val="bullet"/>
      <w:pStyle w:val="Table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DDB6F13"/>
    <w:multiLevelType w:val="multilevel"/>
    <w:tmpl w:val="DEF6435A"/>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5ECD34FE"/>
    <w:multiLevelType w:val="hybridMultilevel"/>
    <w:tmpl w:val="68BA223C"/>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1CD361C"/>
    <w:multiLevelType w:val="multilevel"/>
    <w:tmpl w:val="06A2F7C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62146419"/>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nsid w:val="6A712C58"/>
    <w:multiLevelType w:val="hybridMultilevel"/>
    <w:tmpl w:val="F4BC617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0">
    <w:nsid w:val="6D354ADC"/>
    <w:multiLevelType w:val="hybridMultilevel"/>
    <w:tmpl w:val="426C74B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10F0A24"/>
    <w:multiLevelType w:val="multilevel"/>
    <w:tmpl w:val="6C3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1A75932"/>
    <w:multiLevelType w:val="hybridMultilevel"/>
    <w:tmpl w:val="5DB8D3A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3">
    <w:nsid w:val="725440E5"/>
    <w:multiLevelType w:val="multilevel"/>
    <w:tmpl w:val="A7841A22"/>
    <w:lvl w:ilvl="0">
      <w:start w:val="19"/>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600"/>
        </w:tabs>
        <w:ind w:left="600" w:hanging="60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nsid w:val="75116485"/>
    <w:multiLevelType w:val="hybridMultilevel"/>
    <w:tmpl w:val="FA58B2DE"/>
    <w:lvl w:ilvl="0" w:tplc="005C1A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5812577"/>
    <w:multiLevelType w:val="hybridMultilevel"/>
    <w:tmpl w:val="D9BC86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901666C"/>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nsid w:val="79352981"/>
    <w:multiLevelType w:val="hybridMultilevel"/>
    <w:tmpl w:val="DC90F9DE"/>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EF72B24"/>
    <w:multiLevelType w:val="hybridMultilevel"/>
    <w:tmpl w:val="8F647E7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4"/>
  </w:num>
  <w:num w:numId="3">
    <w:abstractNumId w:val="33"/>
  </w:num>
  <w:num w:numId="4">
    <w:abstractNumId w:val="54"/>
  </w:num>
  <w:num w:numId="5">
    <w:abstractNumId w:val="24"/>
  </w:num>
  <w:num w:numId="6">
    <w:abstractNumId w:val="46"/>
  </w:num>
  <w:num w:numId="7">
    <w:abstractNumId w:val="14"/>
  </w:num>
  <w:num w:numId="8">
    <w:abstractNumId w:val="34"/>
  </w:num>
  <w:num w:numId="9">
    <w:abstractNumId w:val="57"/>
  </w:num>
  <w:num w:numId="10">
    <w:abstractNumId w:val="58"/>
  </w:num>
  <w:num w:numId="11">
    <w:abstractNumId w:val="8"/>
  </w:num>
  <w:num w:numId="12">
    <w:abstractNumId w:val="8"/>
    <w:lvlOverride w:ilvl="0">
      <w:startOverride w:val="1"/>
    </w:lvlOverride>
    <w:lvlOverride w:ilvl="1">
      <w:startOverride w:val="2"/>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num>
  <w:num w:numId="14">
    <w:abstractNumId w:val="19"/>
  </w:num>
  <w:num w:numId="15">
    <w:abstractNumId w:val="25"/>
  </w:num>
  <w:num w:numId="16">
    <w:abstractNumId w:val="30"/>
  </w:num>
  <w:num w:numId="17">
    <w:abstractNumId w:val="23"/>
  </w:num>
  <w:num w:numId="18">
    <w:abstractNumId w:val="2"/>
  </w:num>
  <w:num w:numId="19">
    <w:abstractNumId w:val="1"/>
  </w:num>
  <w:num w:numId="20">
    <w:abstractNumId w:val="9"/>
  </w:num>
  <w:num w:numId="21">
    <w:abstractNumId w:val="12"/>
  </w:num>
  <w:num w:numId="22">
    <w:abstractNumId w:val="36"/>
  </w:num>
  <w:num w:numId="23">
    <w:abstractNumId w:val="17"/>
  </w:num>
  <w:num w:numId="24">
    <w:abstractNumId w:val="7"/>
  </w:num>
  <w:num w:numId="25">
    <w:abstractNumId w:val="4"/>
  </w:num>
  <w:num w:numId="26">
    <w:abstractNumId w:val="13"/>
  </w:num>
  <w:num w:numId="27">
    <w:abstractNumId w:val="55"/>
  </w:num>
  <w:num w:numId="28">
    <w:abstractNumId w:val="48"/>
  </w:num>
  <w:num w:numId="29">
    <w:abstractNumId w:val="49"/>
  </w:num>
  <w:num w:numId="30">
    <w:abstractNumId w:val="42"/>
  </w:num>
  <w:num w:numId="31">
    <w:abstractNumId w:val="28"/>
  </w:num>
  <w:num w:numId="32">
    <w:abstractNumId w:val="53"/>
  </w:num>
  <w:num w:numId="33">
    <w:abstractNumId w:val="39"/>
  </w:num>
  <w:num w:numId="34">
    <w:abstractNumId w:val="22"/>
  </w:num>
  <w:num w:numId="35">
    <w:abstractNumId w:val="10"/>
  </w:num>
  <w:num w:numId="36">
    <w:abstractNumId w:val="18"/>
  </w:num>
  <w:num w:numId="37">
    <w:abstractNumId w:val="51"/>
  </w:num>
  <w:num w:numId="38">
    <w:abstractNumId w:val="27"/>
  </w:num>
  <w:num w:numId="39">
    <w:abstractNumId w:val="47"/>
  </w:num>
  <w:num w:numId="40">
    <w:abstractNumId w:val="15"/>
  </w:num>
  <w:num w:numId="41">
    <w:abstractNumId w:val="37"/>
  </w:num>
  <w:num w:numId="42">
    <w:abstractNumId w:val="35"/>
  </w:num>
  <w:num w:numId="43">
    <w:abstractNumId w:val="50"/>
  </w:num>
  <w:num w:numId="44">
    <w:abstractNumId w:val="40"/>
  </w:num>
  <w:num w:numId="45">
    <w:abstractNumId w:val="5"/>
  </w:num>
  <w:num w:numId="46">
    <w:abstractNumId w:val="16"/>
  </w:num>
  <w:num w:numId="47">
    <w:abstractNumId w:val="29"/>
  </w:num>
  <w:num w:numId="48">
    <w:abstractNumId w:val="3"/>
  </w:num>
  <w:num w:numId="49">
    <w:abstractNumId w:val="31"/>
  </w:num>
  <w:num w:numId="50">
    <w:abstractNumId w:val="0"/>
  </w:num>
  <w:num w:numId="51">
    <w:abstractNumId w:val="41"/>
  </w:num>
  <w:num w:numId="52">
    <w:abstractNumId w:val="52"/>
  </w:num>
  <w:num w:numId="53">
    <w:abstractNumId w:val="21"/>
  </w:num>
  <w:num w:numId="54">
    <w:abstractNumId w:val="32"/>
  </w:num>
  <w:num w:numId="55">
    <w:abstractNumId w:val="45"/>
  </w:num>
  <w:num w:numId="56">
    <w:abstractNumId w:val="26"/>
  </w:num>
  <w:num w:numId="57">
    <w:abstractNumId w:val="43"/>
  </w:num>
  <w:num w:numId="58">
    <w:abstractNumId w:val="56"/>
  </w:num>
  <w:num w:numId="59">
    <w:abstractNumId w:val="11"/>
  </w:num>
  <w:num w:numId="60">
    <w:abstractNumId w:val="6"/>
  </w:num>
  <w:num w:numId="61">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43"/>
    <w:rsid w:val="00003C6D"/>
    <w:rsid w:val="00005220"/>
    <w:rsid w:val="00005E1B"/>
    <w:rsid w:val="0000616D"/>
    <w:rsid w:val="0000619F"/>
    <w:rsid w:val="00010DFD"/>
    <w:rsid w:val="00011AB1"/>
    <w:rsid w:val="000128ED"/>
    <w:rsid w:val="00017A25"/>
    <w:rsid w:val="0002029F"/>
    <w:rsid w:val="00020706"/>
    <w:rsid w:val="0002135B"/>
    <w:rsid w:val="000221AB"/>
    <w:rsid w:val="000229A7"/>
    <w:rsid w:val="00023339"/>
    <w:rsid w:val="00023764"/>
    <w:rsid w:val="00024E95"/>
    <w:rsid w:val="00025958"/>
    <w:rsid w:val="0002617D"/>
    <w:rsid w:val="0002687F"/>
    <w:rsid w:val="00026935"/>
    <w:rsid w:val="00030BF1"/>
    <w:rsid w:val="00031856"/>
    <w:rsid w:val="000323B3"/>
    <w:rsid w:val="00032551"/>
    <w:rsid w:val="00032D23"/>
    <w:rsid w:val="00034EBF"/>
    <w:rsid w:val="00040596"/>
    <w:rsid w:val="00041A3B"/>
    <w:rsid w:val="00042390"/>
    <w:rsid w:val="00043615"/>
    <w:rsid w:val="00046809"/>
    <w:rsid w:val="0004785B"/>
    <w:rsid w:val="00050170"/>
    <w:rsid w:val="00056F8D"/>
    <w:rsid w:val="000609A9"/>
    <w:rsid w:val="00063F9E"/>
    <w:rsid w:val="000651EF"/>
    <w:rsid w:val="000652AF"/>
    <w:rsid w:val="00066F68"/>
    <w:rsid w:val="00070CCA"/>
    <w:rsid w:val="000750CC"/>
    <w:rsid w:val="00075B4F"/>
    <w:rsid w:val="00076A0E"/>
    <w:rsid w:val="00081B1A"/>
    <w:rsid w:val="00084526"/>
    <w:rsid w:val="0009259E"/>
    <w:rsid w:val="000940DE"/>
    <w:rsid w:val="00095402"/>
    <w:rsid w:val="00095518"/>
    <w:rsid w:val="00095598"/>
    <w:rsid w:val="000959F7"/>
    <w:rsid w:val="00096728"/>
    <w:rsid w:val="00097693"/>
    <w:rsid w:val="000A0488"/>
    <w:rsid w:val="000A16A4"/>
    <w:rsid w:val="000A17A0"/>
    <w:rsid w:val="000A7527"/>
    <w:rsid w:val="000A757E"/>
    <w:rsid w:val="000B11AA"/>
    <w:rsid w:val="000B2FA4"/>
    <w:rsid w:val="000B31EF"/>
    <w:rsid w:val="000B404D"/>
    <w:rsid w:val="000B53DC"/>
    <w:rsid w:val="000B5DDD"/>
    <w:rsid w:val="000B5EB7"/>
    <w:rsid w:val="000C09EA"/>
    <w:rsid w:val="000C0C56"/>
    <w:rsid w:val="000C2E74"/>
    <w:rsid w:val="000C3A21"/>
    <w:rsid w:val="000C7A19"/>
    <w:rsid w:val="000D04A9"/>
    <w:rsid w:val="000D065F"/>
    <w:rsid w:val="000D19F2"/>
    <w:rsid w:val="000D35A0"/>
    <w:rsid w:val="000D5DB9"/>
    <w:rsid w:val="000D7056"/>
    <w:rsid w:val="000E1B73"/>
    <w:rsid w:val="000E48AB"/>
    <w:rsid w:val="000E48BE"/>
    <w:rsid w:val="000E491F"/>
    <w:rsid w:val="000E505D"/>
    <w:rsid w:val="000E579D"/>
    <w:rsid w:val="000F07B6"/>
    <w:rsid w:val="000F0B3E"/>
    <w:rsid w:val="000F22A7"/>
    <w:rsid w:val="000F28A2"/>
    <w:rsid w:val="000F436D"/>
    <w:rsid w:val="000F4AC6"/>
    <w:rsid w:val="000F51B9"/>
    <w:rsid w:val="001026F4"/>
    <w:rsid w:val="00102FD5"/>
    <w:rsid w:val="00111ABF"/>
    <w:rsid w:val="00114264"/>
    <w:rsid w:val="0011544E"/>
    <w:rsid w:val="0011564E"/>
    <w:rsid w:val="00116277"/>
    <w:rsid w:val="001200EF"/>
    <w:rsid w:val="00121A6B"/>
    <w:rsid w:val="0012204B"/>
    <w:rsid w:val="00125826"/>
    <w:rsid w:val="00126075"/>
    <w:rsid w:val="00126BF0"/>
    <w:rsid w:val="00127220"/>
    <w:rsid w:val="001273CF"/>
    <w:rsid w:val="001303CF"/>
    <w:rsid w:val="00130EF0"/>
    <w:rsid w:val="001313B2"/>
    <w:rsid w:val="00131C2A"/>
    <w:rsid w:val="00131D3F"/>
    <w:rsid w:val="001338CD"/>
    <w:rsid w:val="00134187"/>
    <w:rsid w:val="00134DAF"/>
    <w:rsid w:val="00135B1C"/>
    <w:rsid w:val="00137CD7"/>
    <w:rsid w:val="001403BF"/>
    <w:rsid w:val="0014274A"/>
    <w:rsid w:val="001435F8"/>
    <w:rsid w:val="001509FF"/>
    <w:rsid w:val="00153CC9"/>
    <w:rsid w:val="00154EC1"/>
    <w:rsid w:val="001578EF"/>
    <w:rsid w:val="0015791C"/>
    <w:rsid w:val="001615AA"/>
    <w:rsid w:val="00162A50"/>
    <w:rsid w:val="00165456"/>
    <w:rsid w:val="00165832"/>
    <w:rsid w:val="00165DCF"/>
    <w:rsid w:val="00166A8D"/>
    <w:rsid w:val="001719E4"/>
    <w:rsid w:val="001732C8"/>
    <w:rsid w:val="0017674B"/>
    <w:rsid w:val="0018212A"/>
    <w:rsid w:val="001845E1"/>
    <w:rsid w:val="00184AEA"/>
    <w:rsid w:val="00184D3A"/>
    <w:rsid w:val="00185F1E"/>
    <w:rsid w:val="00186C94"/>
    <w:rsid w:val="00190698"/>
    <w:rsid w:val="0019227B"/>
    <w:rsid w:val="00192E0C"/>
    <w:rsid w:val="001A1115"/>
    <w:rsid w:val="001A163F"/>
    <w:rsid w:val="001A1DDD"/>
    <w:rsid w:val="001A2CE1"/>
    <w:rsid w:val="001A4A33"/>
    <w:rsid w:val="001A6E4B"/>
    <w:rsid w:val="001B2146"/>
    <w:rsid w:val="001B39E8"/>
    <w:rsid w:val="001B472F"/>
    <w:rsid w:val="001B4A3C"/>
    <w:rsid w:val="001C0CC6"/>
    <w:rsid w:val="001C0FBD"/>
    <w:rsid w:val="001C17AC"/>
    <w:rsid w:val="001C2544"/>
    <w:rsid w:val="001C3E97"/>
    <w:rsid w:val="001C4321"/>
    <w:rsid w:val="001C59CA"/>
    <w:rsid w:val="001C63EE"/>
    <w:rsid w:val="001D3540"/>
    <w:rsid w:val="001D64F5"/>
    <w:rsid w:val="001D64F7"/>
    <w:rsid w:val="001E0ACE"/>
    <w:rsid w:val="001E0C93"/>
    <w:rsid w:val="001E715D"/>
    <w:rsid w:val="001F0FC4"/>
    <w:rsid w:val="001F45D6"/>
    <w:rsid w:val="001F52F6"/>
    <w:rsid w:val="00200FB2"/>
    <w:rsid w:val="00203263"/>
    <w:rsid w:val="002042DB"/>
    <w:rsid w:val="0020531A"/>
    <w:rsid w:val="00206899"/>
    <w:rsid w:val="00206DCC"/>
    <w:rsid w:val="0021506F"/>
    <w:rsid w:val="002154FC"/>
    <w:rsid w:val="00215B72"/>
    <w:rsid w:val="00217C0B"/>
    <w:rsid w:val="00217E2B"/>
    <w:rsid w:val="00220359"/>
    <w:rsid w:val="00222605"/>
    <w:rsid w:val="00230572"/>
    <w:rsid w:val="00231152"/>
    <w:rsid w:val="00233263"/>
    <w:rsid w:val="00233C13"/>
    <w:rsid w:val="00234930"/>
    <w:rsid w:val="0024068E"/>
    <w:rsid w:val="00241797"/>
    <w:rsid w:val="00244560"/>
    <w:rsid w:val="00244720"/>
    <w:rsid w:val="00244833"/>
    <w:rsid w:val="00245F0F"/>
    <w:rsid w:val="00247172"/>
    <w:rsid w:val="00247360"/>
    <w:rsid w:val="00247926"/>
    <w:rsid w:val="002505DA"/>
    <w:rsid w:val="00252493"/>
    <w:rsid w:val="00253115"/>
    <w:rsid w:val="0025321D"/>
    <w:rsid w:val="002542E7"/>
    <w:rsid w:val="00255469"/>
    <w:rsid w:val="002631F7"/>
    <w:rsid w:val="0027349C"/>
    <w:rsid w:val="00274D93"/>
    <w:rsid w:val="00284C51"/>
    <w:rsid w:val="0028799E"/>
    <w:rsid w:val="00290136"/>
    <w:rsid w:val="00291FE2"/>
    <w:rsid w:val="00293B4A"/>
    <w:rsid w:val="00293B50"/>
    <w:rsid w:val="002968D7"/>
    <w:rsid w:val="0029744F"/>
    <w:rsid w:val="002974B7"/>
    <w:rsid w:val="002A067C"/>
    <w:rsid w:val="002A2093"/>
    <w:rsid w:val="002A4B27"/>
    <w:rsid w:val="002A7B4C"/>
    <w:rsid w:val="002B366D"/>
    <w:rsid w:val="002B3E42"/>
    <w:rsid w:val="002B5049"/>
    <w:rsid w:val="002B5FB8"/>
    <w:rsid w:val="002B6505"/>
    <w:rsid w:val="002B7969"/>
    <w:rsid w:val="002B7A0D"/>
    <w:rsid w:val="002B7E1A"/>
    <w:rsid w:val="002C03B1"/>
    <w:rsid w:val="002C18E1"/>
    <w:rsid w:val="002C2CF2"/>
    <w:rsid w:val="002C5289"/>
    <w:rsid w:val="002C7FB6"/>
    <w:rsid w:val="002D177E"/>
    <w:rsid w:val="002D21FB"/>
    <w:rsid w:val="002D4E57"/>
    <w:rsid w:val="002D6C5B"/>
    <w:rsid w:val="002D6D93"/>
    <w:rsid w:val="002E0AB4"/>
    <w:rsid w:val="002E1CA3"/>
    <w:rsid w:val="002E216A"/>
    <w:rsid w:val="002E2534"/>
    <w:rsid w:val="002E45C2"/>
    <w:rsid w:val="002F146C"/>
    <w:rsid w:val="002F1AE5"/>
    <w:rsid w:val="002F3329"/>
    <w:rsid w:val="002F3690"/>
    <w:rsid w:val="002F4ACE"/>
    <w:rsid w:val="002F502F"/>
    <w:rsid w:val="002F5F73"/>
    <w:rsid w:val="002F6760"/>
    <w:rsid w:val="002F6A7D"/>
    <w:rsid w:val="003019DE"/>
    <w:rsid w:val="0030476E"/>
    <w:rsid w:val="003055EB"/>
    <w:rsid w:val="00305C3B"/>
    <w:rsid w:val="003079AF"/>
    <w:rsid w:val="00310358"/>
    <w:rsid w:val="003139AF"/>
    <w:rsid w:val="00314596"/>
    <w:rsid w:val="00315735"/>
    <w:rsid w:val="0032151B"/>
    <w:rsid w:val="00323858"/>
    <w:rsid w:val="00325BEF"/>
    <w:rsid w:val="003270E3"/>
    <w:rsid w:val="00333245"/>
    <w:rsid w:val="003350E7"/>
    <w:rsid w:val="00335C92"/>
    <w:rsid w:val="0034254E"/>
    <w:rsid w:val="0034385E"/>
    <w:rsid w:val="00343AF3"/>
    <w:rsid w:val="00344902"/>
    <w:rsid w:val="0034699E"/>
    <w:rsid w:val="00346F59"/>
    <w:rsid w:val="003473DB"/>
    <w:rsid w:val="00350E67"/>
    <w:rsid w:val="00355B3A"/>
    <w:rsid w:val="00356020"/>
    <w:rsid w:val="003608F9"/>
    <w:rsid w:val="00365F83"/>
    <w:rsid w:val="00373ECB"/>
    <w:rsid w:val="0037737D"/>
    <w:rsid w:val="00381400"/>
    <w:rsid w:val="003836AA"/>
    <w:rsid w:val="00385AB9"/>
    <w:rsid w:val="00386E4A"/>
    <w:rsid w:val="00387FBC"/>
    <w:rsid w:val="00391524"/>
    <w:rsid w:val="003925EF"/>
    <w:rsid w:val="0039339F"/>
    <w:rsid w:val="00394FF0"/>
    <w:rsid w:val="00396741"/>
    <w:rsid w:val="00397389"/>
    <w:rsid w:val="003A084D"/>
    <w:rsid w:val="003A0951"/>
    <w:rsid w:val="003A252A"/>
    <w:rsid w:val="003A27D8"/>
    <w:rsid w:val="003A4B86"/>
    <w:rsid w:val="003A774B"/>
    <w:rsid w:val="003A7B2F"/>
    <w:rsid w:val="003B6F48"/>
    <w:rsid w:val="003C1ECB"/>
    <w:rsid w:val="003C3BD8"/>
    <w:rsid w:val="003C43AD"/>
    <w:rsid w:val="003D02A4"/>
    <w:rsid w:val="003D43B8"/>
    <w:rsid w:val="003D633F"/>
    <w:rsid w:val="003D6569"/>
    <w:rsid w:val="003E0B8D"/>
    <w:rsid w:val="003E162C"/>
    <w:rsid w:val="003E2295"/>
    <w:rsid w:val="003E3397"/>
    <w:rsid w:val="003E4330"/>
    <w:rsid w:val="003E67B3"/>
    <w:rsid w:val="003E709D"/>
    <w:rsid w:val="003E7288"/>
    <w:rsid w:val="003F19E2"/>
    <w:rsid w:val="00400AA2"/>
    <w:rsid w:val="00401DA6"/>
    <w:rsid w:val="00402848"/>
    <w:rsid w:val="0040344B"/>
    <w:rsid w:val="0040574F"/>
    <w:rsid w:val="004107A7"/>
    <w:rsid w:val="00414A5D"/>
    <w:rsid w:val="00414D2B"/>
    <w:rsid w:val="00414E57"/>
    <w:rsid w:val="0041695D"/>
    <w:rsid w:val="00417A44"/>
    <w:rsid w:val="00417ADC"/>
    <w:rsid w:val="00421298"/>
    <w:rsid w:val="00422DDE"/>
    <w:rsid w:val="00425556"/>
    <w:rsid w:val="0043664C"/>
    <w:rsid w:val="0043731F"/>
    <w:rsid w:val="004454EE"/>
    <w:rsid w:val="00453BDB"/>
    <w:rsid w:val="00457FD5"/>
    <w:rsid w:val="004630ED"/>
    <w:rsid w:val="00467840"/>
    <w:rsid w:val="00467C74"/>
    <w:rsid w:val="00470164"/>
    <w:rsid w:val="00470E24"/>
    <w:rsid w:val="00473535"/>
    <w:rsid w:val="00473881"/>
    <w:rsid w:val="00481B69"/>
    <w:rsid w:val="004820D7"/>
    <w:rsid w:val="00482FBC"/>
    <w:rsid w:val="00485D8A"/>
    <w:rsid w:val="004876C9"/>
    <w:rsid w:val="00490D63"/>
    <w:rsid w:val="004912F4"/>
    <w:rsid w:val="0049630F"/>
    <w:rsid w:val="004A01B2"/>
    <w:rsid w:val="004A3158"/>
    <w:rsid w:val="004B23F3"/>
    <w:rsid w:val="004B676F"/>
    <w:rsid w:val="004C0DF5"/>
    <w:rsid w:val="004C15AC"/>
    <w:rsid w:val="004C1C58"/>
    <w:rsid w:val="004C23E2"/>
    <w:rsid w:val="004C38B5"/>
    <w:rsid w:val="004D0752"/>
    <w:rsid w:val="004D22CE"/>
    <w:rsid w:val="004D5B63"/>
    <w:rsid w:val="004D6BA4"/>
    <w:rsid w:val="004D7A1B"/>
    <w:rsid w:val="004E00D4"/>
    <w:rsid w:val="004E01E8"/>
    <w:rsid w:val="004E0719"/>
    <w:rsid w:val="004E1A04"/>
    <w:rsid w:val="004E2A45"/>
    <w:rsid w:val="004E3B71"/>
    <w:rsid w:val="004E4609"/>
    <w:rsid w:val="004E7386"/>
    <w:rsid w:val="004E79E6"/>
    <w:rsid w:val="004F38E5"/>
    <w:rsid w:val="004F4E44"/>
    <w:rsid w:val="004F4E5B"/>
    <w:rsid w:val="005030ED"/>
    <w:rsid w:val="0050526D"/>
    <w:rsid w:val="005057E7"/>
    <w:rsid w:val="00511469"/>
    <w:rsid w:val="005144EB"/>
    <w:rsid w:val="00514650"/>
    <w:rsid w:val="00516A7C"/>
    <w:rsid w:val="0051725B"/>
    <w:rsid w:val="005205FC"/>
    <w:rsid w:val="00520E36"/>
    <w:rsid w:val="00522891"/>
    <w:rsid w:val="0052371A"/>
    <w:rsid w:val="00526438"/>
    <w:rsid w:val="005324F4"/>
    <w:rsid w:val="00535D52"/>
    <w:rsid w:val="0053703A"/>
    <w:rsid w:val="00540A57"/>
    <w:rsid w:val="00540CFD"/>
    <w:rsid w:val="00542068"/>
    <w:rsid w:val="00543BCA"/>
    <w:rsid w:val="00545235"/>
    <w:rsid w:val="00547AA6"/>
    <w:rsid w:val="00550C4A"/>
    <w:rsid w:val="00551200"/>
    <w:rsid w:val="00552BE4"/>
    <w:rsid w:val="00554155"/>
    <w:rsid w:val="005547E4"/>
    <w:rsid w:val="00557E17"/>
    <w:rsid w:val="0056094C"/>
    <w:rsid w:val="00561BA6"/>
    <w:rsid w:val="005628FB"/>
    <w:rsid w:val="00563201"/>
    <w:rsid w:val="0056327C"/>
    <w:rsid w:val="00564648"/>
    <w:rsid w:val="0056492E"/>
    <w:rsid w:val="00564FF6"/>
    <w:rsid w:val="005663BF"/>
    <w:rsid w:val="00567111"/>
    <w:rsid w:val="00570C6E"/>
    <w:rsid w:val="00572280"/>
    <w:rsid w:val="00572ED0"/>
    <w:rsid w:val="00574391"/>
    <w:rsid w:val="0057680B"/>
    <w:rsid w:val="00582F1E"/>
    <w:rsid w:val="00583D78"/>
    <w:rsid w:val="00591449"/>
    <w:rsid w:val="005923C2"/>
    <w:rsid w:val="00595A1D"/>
    <w:rsid w:val="005A0C61"/>
    <w:rsid w:val="005A183A"/>
    <w:rsid w:val="005A76A6"/>
    <w:rsid w:val="005B11C7"/>
    <w:rsid w:val="005B3771"/>
    <w:rsid w:val="005B3CDB"/>
    <w:rsid w:val="005B4346"/>
    <w:rsid w:val="005B6C42"/>
    <w:rsid w:val="005B79EF"/>
    <w:rsid w:val="005C2E6C"/>
    <w:rsid w:val="005C5C12"/>
    <w:rsid w:val="005D11EF"/>
    <w:rsid w:val="005D2EF2"/>
    <w:rsid w:val="005D4B1C"/>
    <w:rsid w:val="005D6853"/>
    <w:rsid w:val="005E18FA"/>
    <w:rsid w:val="005E1C18"/>
    <w:rsid w:val="005E37B9"/>
    <w:rsid w:val="005E42F7"/>
    <w:rsid w:val="005E503E"/>
    <w:rsid w:val="005E6CEA"/>
    <w:rsid w:val="005F03D8"/>
    <w:rsid w:val="005F26A6"/>
    <w:rsid w:val="005F5EC4"/>
    <w:rsid w:val="005F60E7"/>
    <w:rsid w:val="005F7EFF"/>
    <w:rsid w:val="00607C53"/>
    <w:rsid w:val="00610D92"/>
    <w:rsid w:val="00611CFA"/>
    <w:rsid w:val="00612200"/>
    <w:rsid w:val="00614BC8"/>
    <w:rsid w:val="006150FE"/>
    <w:rsid w:val="006155CA"/>
    <w:rsid w:val="00615B8D"/>
    <w:rsid w:val="00620A9A"/>
    <w:rsid w:val="006238B8"/>
    <w:rsid w:val="0062563C"/>
    <w:rsid w:val="0063340F"/>
    <w:rsid w:val="006337AF"/>
    <w:rsid w:val="006478B3"/>
    <w:rsid w:val="006517F1"/>
    <w:rsid w:val="006518E0"/>
    <w:rsid w:val="006524A7"/>
    <w:rsid w:val="0065251C"/>
    <w:rsid w:val="00652C36"/>
    <w:rsid w:val="0066117F"/>
    <w:rsid w:val="00661657"/>
    <w:rsid w:val="006621C2"/>
    <w:rsid w:val="00665014"/>
    <w:rsid w:val="0066716A"/>
    <w:rsid w:val="006702AE"/>
    <w:rsid w:val="0067426C"/>
    <w:rsid w:val="00674E5F"/>
    <w:rsid w:val="00675306"/>
    <w:rsid w:val="00675FF3"/>
    <w:rsid w:val="00680B00"/>
    <w:rsid w:val="0068155B"/>
    <w:rsid w:val="00682906"/>
    <w:rsid w:val="006845D3"/>
    <w:rsid w:val="00686B9A"/>
    <w:rsid w:val="00687814"/>
    <w:rsid w:val="00690635"/>
    <w:rsid w:val="006928F4"/>
    <w:rsid w:val="00695136"/>
    <w:rsid w:val="006951F8"/>
    <w:rsid w:val="00695B02"/>
    <w:rsid w:val="00697525"/>
    <w:rsid w:val="00697A98"/>
    <w:rsid w:val="006A0BB1"/>
    <w:rsid w:val="006A1B4C"/>
    <w:rsid w:val="006A3D63"/>
    <w:rsid w:val="006A7C5C"/>
    <w:rsid w:val="006B0195"/>
    <w:rsid w:val="006B25AC"/>
    <w:rsid w:val="006B40CE"/>
    <w:rsid w:val="006B5EF4"/>
    <w:rsid w:val="006C021D"/>
    <w:rsid w:val="006C4ED7"/>
    <w:rsid w:val="006C7DB5"/>
    <w:rsid w:val="006D11D0"/>
    <w:rsid w:val="006D5C49"/>
    <w:rsid w:val="006D6D4C"/>
    <w:rsid w:val="006E0E99"/>
    <w:rsid w:val="006E30B5"/>
    <w:rsid w:val="006E3FB2"/>
    <w:rsid w:val="006E4C58"/>
    <w:rsid w:val="006E7B46"/>
    <w:rsid w:val="006F28E3"/>
    <w:rsid w:val="006F3DBC"/>
    <w:rsid w:val="006F3E28"/>
    <w:rsid w:val="006F3EE7"/>
    <w:rsid w:val="006F428F"/>
    <w:rsid w:val="006F4DF9"/>
    <w:rsid w:val="006F5CCE"/>
    <w:rsid w:val="007022DE"/>
    <w:rsid w:val="00702ED7"/>
    <w:rsid w:val="00702F81"/>
    <w:rsid w:val="00704C1A"/>
    <w:rsid w:val="00706909"/>
    <w:rsid w:val="007079CE"/>
    <w:rsid w:val="00713723"/>
    <w:rsid w:val="00713820"/>
    <w:rsid w:val="0071608C"/>
    <w:rsid w:val="0071626E"/>
    <w:rsid w:val="007173A9"/>
    <w:rsid w:val="00717D37"/>
    <w:rsid w:val="0072077A"/>
    <w:rsid w:val="007224EA"/>
    <w:rsid w:val="00723E99"/>
    <w:rsid w:val="00724592"/>
    <w:rsid w:val="00724D83"/>
    <w:rsid w:val="00727D65"/>
    <w:rsid w:val="007315D5"/>
    <w:rsid w:val="0073288C"/>
    <w:rsid w:val="00734A65"/>
    <w:rsid w:val="007361D8"/>
    <w:rsid w:val="00737B71"/>
    <w:rsid w:val="00743CC5"/>
    <w:rsid w:val="00744A6C"/>
    <w:rsid w:val="007455C8"/>
    <w:rsid w:val="00746561"/>
    <w:rsid w:val="00746A60"/>
    <w:rsid w:val="007471E9"/>
    <w:rsid w:val="00747FDA"/>
    <w:rsid w:val="00751E75"/>
    <w:rsid w:val="00756B85"/>
    <w:rsid w:val="007570F7"/>
    <w:rsid w:val="00757349"/>
    <w:rsid w:val="00761B3B"/>
    <w:rsid w:val="007621AA"/>
    <w:rsid w:val="00764A43"/>
    <w:rsid w:val="007650DE"/>
    <w:rsid w:val="00766774"/>
    <w:rsid w:val="0076778B"/>
    <w:rsid w:val="00770376"/>
    <w:rsid w:val="00771496"/>
    <w:rsid w:val="007739D5"/>
    <w:rsid w:val="00773B92"/>
    <w:rsid w:val="00780E2B"/>
    <w:rsid w:val="00783EF8"/>
    <w:rsid w:val="00783F79"/>
    <w:rsid w:val="00787896"/>
    <w:rsid w:val="00796E47"/>
    <w:rsid w:val="007A1DA3"/>
    <w:rsid w:val="007A33C2"/>
    <w:rsid w:val="007A3688"/>
    <w:rsid w:val="007A782A"/>
    <w:rsid w:val="007B137C"/>
    <w:rsid w:val="007B1905"/>
    <w:rsid w:val="007B1D63"/>
    <w:rsid w:val="007B2625"/>
    <w:rsid w:val="007B318F"/>
    <w:rsid w:val="007B4101"/>
    <w:rsid w:val="007B4D21"/>
    <w:rsid w:val="007B4F3E"/>
    <w:rsid w:val="007C1DD2"/>
    <w:rsid w:val="007D1344"/>
    <w:rsid w:val="007E0C96"/>
    <w:rsid w:val="007E63EA"/>
    <w:rsid w:val="007F124F"/>
    <w:rsid w:val="007F376C"/>
    <w:rsid w:val="007F4206"/>
    <w:rsid w:val="007F44AC"/>
    <w:rsid w:val="007F53EF"/>
    <w:rsid w:val="007F75B0"/>
    <w:rsid w:val="007F7E68"/>
    <w:rsid w:val="00803BA7"/>
    <w:rsid w:val="00803F49"/>
    <w:rsid w:val="00806245"/>
    <w:rsid w:val="0080731A"/>
    <w:rsid w:val="00814C08"/>
    <w:rsid w:val="00815186"/>
    <w:rsid w:val="00817555"/>
    <w:rsid w:val="00820BEA"/>
    <w:rsid w:val="008229C2"/>
    <w:rsid w:val="00826885"/>
    <w:rsid w:val="008313E0"/>
    <w:rsid w:val="00831DDA"/>
    <w:rsid w:val="008320FB"/>
    <w:rsid w:val="00832377"/>
    <w:rsid w:val="00832D83"/>
    <w:rsid w:val="0083591D"/>
    <w:rsid w:val="00840093"/>
    <w:rsid w:val="00840BC0"/>
    <w:rsid w:val="00842A2A"/>
    <w:rsid w:val="00844253"/>
    <w:rsid w:val="0084440E"/>
    <w:rsid w:val="00847423"/>
    <w:rsid w:val="0085178E"/>
    <w:rsid w:val="00852DDD"/>
    <w:rsid w:val="0085391B"/>
    <w:rsid w:val="0085403D"/>
    <w:rsid w:val="008545AE"/>
    <w:rsid w:val="0085475C"/>
    <w:rsid w:val="0085595F"/>
    <w:rsid w:val="00861AD3"/>
    <w:rsid w:val="008624CA"/>
    <w:rsid w:val="00862DA8"/>
    <w:rsid w:val="008636C7"/>
    <w:rsid w:val="00863958"/>
    <w:rsid w:val="00866CA8"/>
    <w:rsid w:val="00867257"/>
    <w:rsid w:val="00867F72"/>
    <w:rsid w:val="00872A99"/>
    <w:rsid w:val="00872AEA"/>
    <w:rsid w:val="00873569"/>
    <w:rsid w:val="008742CE"/>
    <w:rsid w:val="00876661"/>
    <w:rsid w:val="00880F69"/>
    <w:rsid w:val="00885B4F"/>
    <w:rsid w:val="00892898"/>
    <w:rsid w:val="00892F96"/>
    <w:rsid w:val="00893C61"/>
    <w:rsid w:val="00895C3A"/>
    <w:rsid w:val="008A129F"/>
    <w:rsid w:val="008A23B7"/>
    <w:rsid w:val="008A2449"/>
    <w:rsid w:val="008A5272"/>
    <w:rsid w:val="008B2267"/>
    <w:rsid w:val="008B3066"/>
    <w:rsid w:val="008B3FD1"/>
    <w:rsid w:val="008B4DBD"/>
    <w:rsid w:val="008B560F"/>
    <w:rsid w:val="008B5EDD"/>
    <w:rsid w:val="008B7AFE"/>
    <w:rsid w:val="008C0CC7"/>
    <w:rsid w:val="008C1401"/>
    <w:rsid w:val="008C2744"/>
    <w:rsid w:val="008C4225"/>
    <w:rsid w:val="008C53CF"/>
    <w:rsid w:val="008C7D1E"/>
    <w:rsid w:val="008D1BBB"/>
    <w:rsid w:val="008D2AE4"/>
    <w:rsid w:val="008D2C49"/>
    <w:rsid w:val="008D31FF"/>
    <w:rsid w:val="008E0D34"/>
    <w:rsid w:val="008E1033"/>
    <w:rsid w:val="008E296D"/>
    <w:rsid w:val="008E577F"/>
    <w:rsid w:val="008E59DC"/>
    <w:rsid w:val="008E6C33"/>
    <w:rsid w:val="008F042E"/>
    <w:rsid w:val="008F0C0D"/>
    <w:rsid w:val="008F236D"/>
    <w:rsid w:val="008F43F0"/>
    <w:rsid w:val="008F5DA3"/>
    <w:rsid w:val="00902485"/>
    <w:rsid w:val="00905D22"/>
    <w:rsid w:val="009063CE"/>
    <w:rsid w:val="0090732C"/>
    <w:rsid w:val="00910634"/>
    <w:rsid w:val="00911677"/>
    <w:rsid w:val="00912424"/>
    <w:rsid w:val="00914FD7"/>
    <w:rsid w:val="00916028"/>
    <w:rsid w:val="0091662E"/>
    <w:rsid w:val="00917B2A"/>
    <w:rsid w:val="009213C7"/>
    <w:rsid w:val="00922E6E"/>
    <w:rsid w:val="009230A5"/>
    <w:rsid w:val="009273C7"/>
    <w:rsid w:val="00927401"/>
    <w:rsid w:val="009276D1"/>
    <w:rsid w:val="00927B5C"/>
    <w:rsid w:val="00932E5C"/>
    <w:rsid w:val="00935B98"/>
    <w:rsid w:val="009378A7"/>
    <w:rsid w:val="00941B3A"/>
    <w:rsid w:val="00944002"/>
    <w:rsid w:val="00944D25"/>
    <w:rsid w:val="0094580A"/>
    <w:rsid w:val="0095002D"/>
    <w:rsid w:val="00950BD4"/>
    <w:rsid w:val="009518D0"/>
    <w:rsid w:val="00952FB7"/>
    <w:rsid w:val="00956FE0"/>
    <w:rsid w:val="009602AA"/>
    <w:rsid w:val="00962DB4"/>
    <w:rsid w:val="009630C8"/>
    <w:rsid w:val="009644BA"/>
    <w:rsid w:val="009723BE"/>
    <w:rsid w:val="009740EC"/>
    <w:rsid w:val="009803AA"/>
    <w:rsid w:val="0098070F"/>
    <w:rsid w:val="00985B29"/>
    <w:rsid w:val="0099077F"/>
    <w:rsid w:val="0099197B"/>
    <w:rsid w:val="00993DD6"/>
    <w:rsid w:val="00993F8F"/>
    <w:rsid w:val="00996E97"/>
    <w:rsid w:val="00997695"/>
    <w:rsid w:val="009A3F70"/>
    <w:rsid w:val="009A7C0C"/>
    <w:rsid w:val="009B12CF"/>
    <w:rsid w:val="009B45EC"/>
    <w:rsid w:val="009B5BD5"/>
    <w:rsid w:val="009B68AE"/>
    <w:rsid w:val="009B76EC"/>
    <w:rsid w:val="009C24A1"/>
    <w:rsid w:val="009C2BF5"/>
    <w:rsid w:val="009C3A0E"/>
    <w:rsid w:val="009C64E9"/>
    <w:rsid w:val="009C6F1E"/>
    <w:rsid w:val="009C70AC"/>
    <w:rsid w:val="009C7271"/>
    <w:rsid w:val="009D0ED2"/>
    <w:rsid w:val="009D58B0"/>
    <w:rsid w:val="009D5ADB"/>
    <w:rsid w:val="009D6CE2"/>
    <w:rsid w:val="009D72DC"/>
    <w:rsid w:val="009E21B9"/>
    <w:rsid w:val="009E23D1"/>
    <w:rsid w:val="009E33DB"/>
    <w:rsid w:val="009F0666"/>
    <w:rsid w:val="009F0FC5"/>
    <w:rsid w:val="009F181B"/>
    <w:rsid w:val="009F4523"/>
    <w:rsid w:val="009F59BF"/>
    <w:rsid w:val="009F6DAD"/>
    <w:rsid w:val="009F710E"/>
    <w:rsid w:val="00A02E09"/>
    <w:rsid w:val="00A039B5"/>
    <w:rsid w:val="00A0684A"/>
    <w:rsid w:val="00A10B4C"/>
    <w:rsid w:val="00A1175B"/>
    <w:rsid w:val="00A127CA"/>
    <w:rsid w:val="00A17DDB"/>
    <w:rsid w:val="00A20404"/>
    <w:rsid w:val="00A21C7E"/>
    <w:rsid w:val="00A2292C"/>
    <w:rsid w:val="00A2403D"/>
    <w:rsid w:val="00A3277A"/>
    <w:rsid w:val="00A3395C"/>
    <w:rsid w:val="00A36F65"/>
    <w:rsid w:val="00A41FE7"/>
    <w:rsid w:val="00A4211E"/>
    <w:rsid w:val="00A4351D"/>
    <w:rsid w:val="00A44C0D"/>
    <w:rsid w:val="00A504F4"/>
    <w:rsid w:val="00A50F8F"/>
    <w:rsid w:val="00A5228A"/>
    <w:rsid w:val="00A52A72"/>
    <w:rsid w:val="00A5462F"/>
    <w:rsid w:val="00A556E8"/>
    <w:rsid w:val="00A577A8"/>
    <w:rsid w:val="00A57CB8"/>
    <w:rsid w:val="00A60D1B"/>
    <w:rsid w:val="00A623B4"/>
    <w:rsid w:val="00A653C6"/>
    <w:rsid w:val="00A655EA"/>
    <w:rsid w:val="00A658D0"/>
    <w:rsid w:val="00A65A22"/>
    <w:rsid w:val="00A66288"/>
    <w:rsid w:val="00A76BE0"/>
    <w:rsid w:val="00A82538"/>
    <w:rsid w:val="00A844CE"/>
    <w:rsid w:val="00A8668D"/>
    <w:rsid w:val="00A87BA0"/>
    <w:rsid w:val="00A961DD"/>
    <w:rsid w:val="00A9638A"/>
    <w:rsid w:val="00A979C1"/>
    <w:rsid w:val="00AA084A"/>
    <w:rsid w:val="00AA0D66"/>
    <w:rsid w:val="00AA3FCB"/>
    <w:rsid w:val="00AB3596"/>
    <w:rsid w:val="00AB431D"/>
    <w:rsid w:val="00AB643F"/>
    <w:rsid w:val="00AC1CB0"/>
    <w:rsid w:val="00AC4359"/>
    <w:rsid w:val="00AC7358"/>
    <w:rsid w:val="00AD130D"/>
    <w:rsid w:val="00AD1D31"/>
    <w:rsid w:val="00AD6ABB"/>
    <w:rsid w:val="00AE3016"/>
    <w:rsid w:val="00AE31D7"/>
    <w:rsid w:val="00AE367F"/>
    <w:rsid w:val="00AE4829"/>
    <w:rsid w:val="00AF3E2C"/>
    <w:rsid w:val="00AF52DB"/>
    <w:rsid w:val="00AF5F3A"/>
    <w:rsid w:val="00AF6183"/>
    <w:rsid w:val="00B01F19"/>
    <w:rsid w:val="00B0276D"/>
    <w:rsid w:val="00B0568E"/>
    <w:rsid w:val="00B05FC4"/>
    <w:rsid w:val="00B0679F"/>
    <w:rsid w:val="00B07248"/>
    <w:rsid w:val="00B12073"/>
    <w:rsid w:val="00B1653B"/>
    <w:rsid w:val="00B1799E"/>
    <w:rsid w:val="00B21986"/>
    <w:rsid w:val="00B23419"/>
    <w:rsid w:val="00B24968"/>
    <w:rsid w:val="00B25528"/>
    <w:rsid w:val="00B25FD8"/>
    <w:rsid w:val="00B3033A"/>
    <w:rsid w:val="00B3038F"/>
    <w:rsid w:val="00B307B4"/>
    <w:rsid w:val="00B33E07"/>
    <w:rsid w:val="00B34815"/>
    <w:rsid w:val="00B361E2"/>
    <w:rsid w:val="00B37E50"/>
    <w:rsid w:val="00B42C42"/>
    <w:rsid w:val="00B45733"/>
    <w:rsid w:val="00B467C0"/>
    <w:rsid w:val="00B477D3"/>
    <w:rsid w:val="00B56298"/>
    <w:rsid w:val="00B56CF2"/>
    <w:rsid w:val="00B57DBC"/>
    <w:rsid w:val="00B62F51"/>
    <w:rsid w:val="00B63F36"/>
    <w:rsid w:val="00B65216"/>
    <w:rsid w:val="00B65A04"/>
    <w:rsid w:val="00B72B4E"/>
    <w:rsid w:val="00B73F50"/>
    <w:rsid w:val="00B7799E"/>
    <w:rsid w:val="00B80AE3"/>
    <w:rsid w:val="00B82467"/>
    <w:rsid w:val="00B83C04"/>
    <w:rsid w:val="00B845D1"/>
    <w:rsid w:val="00B85F9D"/>
    <w:rsid w:val="00B93F1F"/>
    <w:rsid w:val="00BA0973"/>
    <w:rsid w:val="00BA09ED"/>
    <w:rsid w:val="00BA22D9"/>
    <w:rsid w:val="00BB150B"/>
    <w:rsid w:val="00BB412C"/>
    <w:rsid w:val="00BB5242"/>
    <w:rsid w:val="00BB61B8"/>
    <w:rsid w:val="00BB7448"/>
    <w:rsid w:val="00BB798F"/>
    <w:rsid w:val="00BC111C"/>
    <w:rsid w:val="00BC217D"/>
    <w:rsid w:val="00BC72DE"/>
    <w:rsid w:val="00BC74BF"/>
    <w:rsid w:val="00BC7D8D"/>
    <w:rsid w:val="00BD0302"/>
    <w:rsid w:val="00BD3894"/>
    <w:rsid w:val="00BD7164"/>
    <w:rsid w:val="00BD730A"/>
    <w:rsid w:val="00BD7A5F"/>
    <w:rsid w:val="00BE15FF"/>
    <w:rsid w:val="00BE39A9"/>
    <w:rsid w:val="00BE5676"/>
    <w:rsid w:val="00BE6D9B"/>
    <w:rsid w:val="00BE7E2D"/>
    <w:rsid w:val="00BF25AB"/>
    <w:rsid w:val="00BF5708"/>
    <w:rsid w:val="00BF646E"/>
    <w:rsid w:val="00C0259B"/>
    <w:rsid w:val="00C04971"/>
    <w:rsid w:val="00C04A44"/>
    <w:rsid w:val="00C04ECE"/>
    <w:rsid w:val="00C05736"/>
    <w:rsid w:val="00C14B07"/>
    <w:rsid w:val="00C156B2"/>
    <w:rsid w:val="00C16C66"/>
    <w:rsid w:val="00C21F1E"/>
    <w:rsid w:val="00C24A97"/>
    <w:rsid w:val="00C25CB1"/>
    <w:rsid w:val="00C26446"/>
    <w:rsid w:val="00C303BE"/>
    <w:rsid w:val="00C30826"/>
    <w:rsid w:val="00C31D6A"/>
    <w:rsid w:val="00C353B5"/>
    <w:rsid w:val="00C35934"/>
    <w:rsid w:val="00C41B9E"/>
    <w:rsid w:val="00C50184"/>
    <w:rsid w:val="00C52FEC"/>
    <w:rsid w:val="00C531B4"/>
    <w:rsid w:val="00C555BE"/>
    <w:rsid w:val="00C56760"/>
    <w:rsid w:val="00C63EC8"/>
    <w:rsid w:val="00C644AE"/>
    <w:rsid w:val="00C669C1"/>
    <w:rsid w:val="00C74180"/>
    <w:rsid w:val="00C7626A"/>
    <w:rsid w:val="00C85FB0"/>
    <w:rsid w:val="00C879EA"/>
    <w:rsid w:val="00C87A61"/>
    <w:rsid w:val="00C904B8"/>
    <w:rsid w:val="00C95F02"/>
    <w:rsid w:val="00C97F87"/>
    <w:rsid w:val="00CA00D7"/>
    <w:rsid w:val="00CA09F3"/>
    <w:rsid w:val="00CA13DF"/>
    <w:rsid w:val="00CA27B7"/>
    <w:rsid w:val="00CA3554"/>
    <w:rsid w:val="00CA48F3"/>
    <w:rsid w:val="00CB206B"/>
    <w:rsid w:val="00CB26AD"/>
    <w:rsid w:val="00CB28B3"/>
    <w:rsid w:val="00CB2FC4"/>
    <w:rsid w:val="00CB44D4"/>
    <w:rsid w:val="00CB58FC"/>
    <w:rsid w:val="00CC1B0C"/>
    <w:rsid w:val="00CC26F1"/>
    <w:rsid w:val="00CC36D9"/>
    <w:rsid w:val="00CC4D32"/>
    <w:rsid w:val="00CD0E2E"/>
    <w:rsid w:val="00CD1939"/>
    <w:rsid w:val="00CD1F4C"/>
    <w:rsid w:val="00CD4AEA"/>
    <w:rsid w:val="00CE2692"/>
    <w:rsid w:val="00CE327C"/>
    <w:rsid w:val="00CE3C22"/>
    <w:rsid w:val="00CE5738"/>
    <w:rsid w:val="00CF08CA"/>
    <w:rsid w:val="00CF0F81"/>
    <w:rsid w:val="00CF17B3"/>
    <w:rsid w:val="00CF5867"/>
    <w:rsid w:val="00D03BD1"/>
    <w:rsid w:val="00D04C62"/>
    <w:rsid w:val="00D05DCA"/>
    <w:rsid w:val="00D076AD"/>
    <w:rsid w:val="00D1145F"/>
    <w:rsid w:val="00D11671"/>
    <w:rsid w:val="00D12690"/>
    <w:rsid w:val="00D14EF3"/>
    <w:rsid w:val="00D16C17"/>
    <w:rsid w:val="00D222F2"/>
    <w:rsid w:val="00D25303"/>
    <w:rsid w:val="00D257F4"/>
    <w:rsid w:val="00D26528"/>
    <w:rsid w:val="00D26E32"/>
    <w:rsid w:val="00D31B9B"/>
    <w:rsid w:val="00D32B25"/>
    <w:rsid w:val="00D34DD7"/>
    <w:rsid w:val="00D3751D"/>
    <w:rsid w:val="00D37746"/>
    <w:rsid w:val="00D37BA8"/>
    <w:rsid w:val="00D40148"/>
    <w:rsid w:val="00D412A6"/>
    <w:rsid w:val="00D44F5E"/>
    <w:rsid w:val="00D45D65"/>
    <w:rsid w:val="00D46576"/>
    <w:rsid w:val="00D51293"/>
    <w:rsid w:val="00D51FDE"/>
    <w:rsid w:val="00D52B39"/>
    <w:rsid w:val="00D54134"/>
    <w:rsid w:val="00D54291"/>
    <w:rsid w:val="00D61CEB"/>
    <w:rsid w:val="00D62C17"/>
    <w:rsid w:val="00D64805"/>
    <w:rsid w:val="00D65731"/>
    <w:rsid w:val="00D71920"/>
    <w:rsid w:val="00D81AA1"/>
    <w:rsid w:val="00D83B15"/>
    <w:rsid w:val="00D84F68"/>
    <w:rsid w:val="00D85501"/>
    <w:rsid w:val="00D91638"/>
    <w:rsid w:val="00D91C88"/>
    <w:rsid w:val="00D921FF"/>
    <w:rsid w:val="00DA0837"/>
    <w:rsid w:val="00DA15AE"/>
    <w:rsid w:val="00DA3056"/>
    <w:rsid w:val="00DA407E"/>
    <w:rsid w:val="00DA40EB"/>
    <w:rsid w:val="00DA7374"/>
    <w:rsid w:val="00DB0FAA"/>
    <w:rsid w:val="00DB2A7A"/>
    <w:rsid w:val="00DB4060"/>
    <w:rsid w:val="00DB47BB"/>
    <w:rsid w:val="00DC0D1F"/>
    <w:rsid w:val="00DC1B16"/>
    <w:rsid w:val="00DC22CE"/>
    <w:rsid w:val="00DC3144"/>
    <w:rsid w:val="00DD24F1"/>
    <w:rsid w:val="00DD3BF0"/>
    <w:rsid w:val="00DD55D7"/>
    <w:rsid w:val="00DD5CFC"/>
    <w:rsid w:val="00DE04FB"/>
    <w:rsid w:val="00DE0B79"/>
    <w:rsid w:val="00DE5681"/>
    <w:rsid w:val="00DE6744"/>
    <w:rsid w:val="00DF09EB"/>
    <w:rsid w:val="00DF0E23"/>
    <w:rsid w:val="00DF2167"/>
    <w:rsid w:val="00DF23A8"/>
    <w:rsid w:val="00DF3AED"/>
    <w:rsid w:val="00DF3EFF"/>
    <w:rsid w:val="00DF56DE"/>
    <w:rsid w:val="00DF7AE4"/>
    <w:rsid w:val="00E019C8"/>
    <w:rsid w:val="00E01C70"/>
    <w:rsid w:val="00E039D6"/>
    <w:rsid w:val="00E0511A"/>
    <w:rsid w:val="00E052AF"/>
    <w:rsid w:val="00E06B3B"/>
    <w:rsid w:val="00E13E16"/>
    <w:rsid w:val="00E147EB"/>
    <w:rsid w:val="00E154FA"/>
    <w:rsid w:val="00E16FEE"/>
    <w:rsid w:val="00E17EA0"/>
    <w:rsid w:val="00E20B3D"/>
    <w:rsid w:val="00E227D4"/>
    <w:rsid w:val="00E22D11"/>
    <w:rsid w:val="00E2320F"/>
    <w:rsid w:val="00E24990"/>
    <w:rsid w:val="00E24E7A"/>
    <w:rsid w:val="00E26086"/>
    <w:rsid w:val="00E26978"/>
    <w:rsid w:val="00E32A3A"/>
    <w:rsid w:val="00E330A7"/>
    <w:rsid w:val="00E3315E"/>
    <w:rsid w:val="00E33BD9"/>
    <w:rsid w:val="00E40262"/>
    <w:rsid w:val="00E43BEF"/>
    <w:rsid w:val="00E43E9D"/>
    <w:rsid w:val="00E45A13"/>
    <w:rsid w:val="00E46069"/>
    <w:rsid w:val="00E462DE"/>
    <w:rsid w:val="00E46FE1"/>
    <w:rsid w:val="00E55EE0"/>
    <w:rsid w:val="00E627F2"/>
    <w:rsid w:val="00E62AE7"/>
    <w:rsid w:val="00E62D65"/>
    <w:rsid w:val="00E6373F"/>
    <w:rsid w:val="00E65B16"/>
    <w:rsid w:val="00E65E4D"/>
    <w:rsid w:val="00E705F5"/>
    <w:rsid w:val="00E71D1B"/>
    <w:rsid w:val="00E72E0D"/>
    <w:rsid w:val="00E743AC"/>
    <w:rsid w:val="00E74B83"/>
    <w:rsid w:val="00E7527D"/>
    <w:rsid w:val="00E75284"/>
    <w:rsid w:val="00E7714E"/>
    <w:rsid w:val="00E7759A"/>
    <w:rsid w:val="00E80010"/>
    <w:rsid w:val="00E808C0"/>
    <w:rsid w:val="00E81AD5"/>
    <w:rsid w:val="00E836B9"/>
    <w:rsid w:val="00E86CCD"/>
    <w:rsid w:val="00E926A4"/>
    <w:rsid w:val="00E9449E"/>
    <w:rsid w:val="00E94A8D"/>
    <w:rsid w:val="00EA09FF"/>
    <w:rsid w:val="00EA1A23"/>
    <w:rsid w:val="00EA5F73"/>
    <w:rsid w:val="00EA6BE1"/>
    <w:rsid w:val="00EB507B"/>
    <w:rsid w:val="00EB52C2"/>
    <w:rsid w:val="00EC0C2E"/>
    <w:rsid w:val="00EC29CD"/>
    <w:rsid w:val="00EC3CA0"/>
    <w:rsid w:val="00ED0897"/>
    <w:rsid w:val="00ED1B51"/>
    <w:rsid w:val="00ED380F"/>
    <w:rsid w:val="00ED399A"/>
    <w:rsid w:val="00ED5565"/>
    <w:rsid w:val="00EE1635"/>
    <w:rsid w:val="00EE1B8C"/>
    <w:rsid w:val="00EE2AA0"/>
    <w:rsid w:val="00EE51CB"/>
    <w:rsid w:val="00EF0F13"/>
    <w:rsid w:val="00EF1109"/>
    <w:rsid w:val="00EF59EA"/>
    <w:rsid w:val="00EF7D71"/>
    <w:rsid w:val="00F00A9D"/>
    <w:rsid w:val="00F01D07"/>
    <w:rsid w:val="00F06AD8"/>
    <w:rsid w:val="00F07F85"/>
    <w:rsid w:val="00F12272"/>
    <w:rsid w:val="00F123B7"/>
    <w:rsid w:val="00F128D7"/>
    <w:rsid w:val="00F129D4"/>
    <w:rsid w:val="00F163F1"/>
    <w:rsid w:val="00F20784"/>
    <w:rsid w:val="00F23869"/>
    <w:rsid w:val="00F244D2"/>
    <w:rsid w:val="00F252C9"/>
    <w:rsid w:val="00F26D84"/>
    <w:rsid w:val="00F2757E"/>
    <w:rsid w:val="00F2771B"/>
    <w:rsid w:val="00F30C0B"/>
    <w:rsid w:val="00F31A22"/>
    <w:rsid w:val="00F32502"/>
    <w:rsid w:val="00F32BB4"/>
    <w:rsid w:val="00F32EF1"/>
    <w:rsid w:val="00F35953"/>
    <w:rsid w:val="00F41484"/>
    <w:rsid w:val="00F41FCF"/>
    <w:rsid w:val="00F431BA"/>
    <w:rsid w:val="00F44DD9"/>
    <w:rsid w:val="00F51374"/>
    <w:rsid w:val="00F53EB4"/>
    <w:rsid w:val="00F554C9"/>
    <w:rsid w:val="00F56E3C"/>
    <w:rsid w:val="00F6352A"/>
    <w:rsid w:val="00F643E0"/>
    <w:rsid w:val="00F65536"/>
    <w:rsid w:val="00F663C0"/>
    <w:rsid w:val="00F70158"/>
    <w:rsid w:val="00F71386"/>
    <w:rsid w:val="00F7282B"/>
    <w:rsid w:val="00F72BC2"/>
    <w:rsid w:val="00F73515"/>
    <w:rsid w:val="00F75145"/>
    <w:rsid w:val="00F803A5"/>
    <w:rsid w:val="00F80615"/>
    <w:rsid w:val="00F815A8"/>
    <w:rsid w:val="00F81DA7"/>
    <w:rsid w:val="00F82BAE"/>
    <w:rsid w:val="00F83EDF"/>
    <w:rsid w:val="00F8637E"/>
    <w:rsid w:val="00F91235"/>
    <w:rsid w:val="00F92082"/>
    <w:rsid w:val="00F94B1E"/>
    <w:rsid w:val="00F95337"/>
    <w:rsid w:val="00F959DA"/>
    <w:rsid w:val="00FA2FEF"/>
    <w:rsid w:val="00FB1A23"/>
    <w:rsid w:val="00FC1F93"/>
    <w:rsid w:val="00FC75B4"/>
    <w:rsid w:val="00FD3855"/>
    <w:rsid w:val="00FD3BE4"/>
    <w:rsid w:val="00FD686C"/>
    <w:rsid w:val="00FE0386"/>
    <w:rsid w:val="00FE0A3D"/>
    <w:rsid w:val="00FE23EB"/>
    <w:rsid w:val="00FE28B3"/>
    <w:rsid w:val="00FF0314"/>
    <w:rsid w:val="00FF0414"/>
    <w:rsid w:val="00FF208E"/>
    <w:rsid w:val="00FF22B5"/>
    <w:rsid w:val="00FF309D"/>
    <w:rsid w:val="00FF5312"/>
    <w:rsid w:val="00FF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 w:type="paragraph" w:styleId="ListParagraph">
    <w:name w:val="List Paragraph"/>
    <w:basedOn w:val="Normal"/>
    <w:uiPriority w:val="34"/>
    <w:qFormat/>
    <w:rsid w:val="001C59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 w:type="paragraph" w:styleId="ListParagraph">
    <w:name w:val="List Paragraph"/>
    <w:basedOn w:val="Normal"/>
    <w:uiPriority w:val="34"/>
    <w:qFormat/>
    <w:rsid w:val="001C5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0572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olicy_x0020_or_x0020_Procedure xmlns="1c64f3ea-64b2-4ba4-83e2-f0639d8ebc0b">
      <Value>Policy</Value>
    </Policy_x0020_or_x0020_Procedure>
    <Document_x0020_Type xmlns="0e17a363-e013-437b-9a95-505d1cd007fa">Internal</Document_x0020_Type>
    <Region xmlns="1c64f3ea-64b2-4ba4-83e2-f0639d8ebc0b">General</Reg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E7E62ACFF9FE41B812808D0EEFF973" ma:contentTypeVersion="29" ma:contentTypeDescription="Create a new document." ma:contentTypeScope="" ma:versionID="b9ff993c77f284494b80c21fc76bc8f6">
  <xsd:schema xmlns:xsd="http://www.w3.org/2001/XMLSchema" xmlns:xs="http://www.w3.org/2001/XMLSchema" xmlns:p="http://schemas.microsoft.com/office/2006/metadata/properties" xmlns:ns2="1c64f3ea-64b2-4ba4-83e2-f0639d8ebc0b" xmlns:ns3="0e17a363-e013-437b-9a95-505d1cd007fa" xmlns:ns4="328597d9-4282-4247-a4e8-f559f7eb4505" xmlns:ns5="6bbfadf9-d801-40f2-a897-3bb0ed128290" targetNamespace="http://schemas.microsoft.com/office/2006/metadata/properties" ma:root="true" ma:fieldsID="7f6eba0cd0d11ad969a874b7fc674999" ns2:_="" ns3:_="" ns4:_="" ns5:_="">
    <xsd:import namespace="1c64f3ea-64b2-4ba4-83e2-f0639d8ebc0b"/>
    <xsd:import namespace="0e17a363-e013-437b-9a95-505d1cd007fa"/>
    <xsd:import namespace="328597d9-4282-4247-a4e8-f559f7eb4505"/>
    <xsd:import namespace="6bbfadf9-d801-40f2-a897-3bb0ed128290"/>
    <xsd:element name="properties">
      <xsd:complexType>
        <xsd:sequence>
          <xsd:element name="documentManagement">
            <xsd:complexType>
              <xsd:all>
                <xsd:element ref="ns2:Region"/>
                <xsd:element ref="ns2:Policy_x0020_or_x0020_Procedure" minOccurs="0"/>
                <xsd:element ref="ns3:Document_x0020_Type"/>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4f3ea-64b2-4ba4-83e2-f0639d8ebc0b" elementFormDefault="qualified">
    <xsd:import namespace="http://schemas.microsoft.com/office/2006/documentManagement/types"/>
    <xsd:import namespace="http://schemas.microsoft.com/office/infopath/2007/PartnerControls"/>
    <xsd:element name="Region" ma:index="2" ma:displayName="Region" ma:default="General" ma:format="Dropdown" ma:internalName="Region">
      <xsd:simpleType>
        <xsd:restriction base="dms:Choice">
          <xsd:enumeration value="General"/>
          <xsd:enumeration value="Canada"/>
          <xsd:enumeration value="Mexico"/>
          <xsd:enumeration value="US"/>
          <xsd:enumeration value="AsiaPac"/>
          <xsd:enumeration value="Hong Kong"/>
          <xsd:enumeration value="Belgium"/>
          <xsd:enumeration value="Italy"/>
        </xsd:restriction>
      </xsd:simpleType>
    </xsd:element>
    <xsd:element name="Policy_x0020_or_x0020_Procedure" ma:index="9" nillable="true" ma:displayName="Policy or Procedure" ma:default="Policy" ma:internalName="Policy_x0020_or_x0020_Procedure" ma:requiredMultiChoice="true">
      <xsd:complexType>
        <xsd:complexContent>
          <xsd:extension base="dms:MultiChoice">
            <xsd:sequence>
              <xsd:element name="Value" maxOccurs="unbounded" minOccurs="0" nillable="true">
                <xsd:simpleType>
                  <xsd:restriction base="dms:Choice">
                    <xsd:enumeration value="Policy"/>
                    <xsd:enumeration value="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7a363-e013-437b-9a95-505d1cd007fa" elementFormDefault="qualified">
    <xsd:import namespace="http://schemas.microsoft.com/office/2006/documentManagement/types"/>
    <xsd:import namespace="http://schemas.microsoft.com/office/infopath/2007/PartnerControls"/>
    <xsd:element name="Document_x0020_Type" ma:index="10" ma:displayName="Document Type" ma:default="IFRS" ma:format="Dropdown" ma:internalName="Document_x0020_Type">
      <xsd:simpleType>
        <xsd:restriction base="dms:Choice">
          <xsd:enumeration value="Internal"/>
          <xsd:enumeration value="IFRS"/>
          <xsd:enumeration value="Metrics"/>
        </xsd:restriction>
      </xsd:simpleType>
    </xsd:element>
  </xsd:schema>
  <xsd:schema xmlns:xsd="http://www.w3.org/2001/XMLSchema" xmlns:xs="http://www.w3.org/2001/XMLSchema" xmlns:dms="http://schemas.microsoft.com/office/2006/documentManagement/types" xmlns:pc="http://schemas.microsoft.com/office/infopath/2007/PartnerControls" targetNamespace="328597d9-4282-4247-a4e8-f559f7eb450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adf9-d801-40f2-a897-3bb0ed12829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69FC5-9C98-4344-B4AC-551B39BFCE2A}"/>
</file>

<file path=customXml/itemProps2.xml><?xml version="1.0" encoding="utf-8"?>
<ds:datastoreItem xmlns:ds="http://schemas.openxmlformats.org/officeDocument/2006/customXml" ds:itemID="{488EC76F-1338-456B-AE22-94256EE78622}"/>
</file>

<file path=customXml/itemProps3.xml><?xml version="1.0" encoding="utf-8"?>
<ds:datastoreItem xmlns:ds="http://schemas.openxmlformats.org/officeDocument/2006/customXml" ds:itemID="{2E95F5E0-ED5E-4851-970F-FB022CD8FDF6}"/>
</file>

<file path=customXml/itemProps4.xml><?xml version="1.0" encoding="utf-8"?>
<ds:datastoreItem xmlns:ds="http://schemas.openxmlformats.org/officeDocument/2006/customXml" ds:itemID="{F714352B-617A-47C6-8FD8-8519544C5A07}"/>
</file>

<file path=docProps/app.xml><?xml version="1.0" encoding="utf-8"?>
<Properties xmlns="http://schemas.openxmlformats.org/officeDocument/2006/extended-properties" xmlns:vt="http://schemas.openxmlformats.org/officeDocument/2006/docPropsVTypes">
  <Template>Normal.dotm</Template>
  <TotalTime>1</TotalTime>
  <Pages>4</Pages>
  <Words>924</Words>
  <Characters>5268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IFRS-Accounting Manual.doc</vt:lpstr>
    </vt:vector>
  </TitlesOfParts>
  <Company>Samsonite</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IFRS-Accounting Manual.doc</dc:title>
  <dc:creator>image008</dc:creator>
  <cp:lastModifiedBy>Linda Dionne</cp:lastModifiedBy>
  <cp:revision>2</cp:revision>
  <cp:lastPrinted>2013-06-27T20:26:00Z</cp:lastPrinted>
  <dcterms:created xsi:type="dcterms:W3CDTF">2014-09-19T19:21:00Z</dcterms:created>
  <dcterms:modified xsi:type="dcterms:W3CDTF">2014-09-19T19:21:00Z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0x010100F2E7E62ACFF9FE41B812808D0EEFF973</vt:lpwstr>
  </property>
  <property fmtid="{D5CDD505-2E9C-101B-9397-08002B2CF9AE}" pid="3" name="Document Approval Status">
    <vt:lpwstr>Initial Approval</vt:lpwstr>
  </property>
</Properties>
</file>