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1BE36" w14:textId="77777777" w:rsidR="00E71831" w:rsidRPr="00724D83" w:rsidRDefault="00E71831" w:rsidP="0063340F">
      <w:pPr>
        <w:pStyle w:val="Head1"/>
      </w:pPr>
      <w:r>
        <w:t>16</w:t>
      </w:r>
      <w:r w:rsidRPr="00724D83">
        <w:t>.</w:t>
      </w:r>
      <w:r w:rsidRPr="00724D83">
        <w:tab/>
      </w:r>
      <w:r>
        <w:t>Specific items of profit or loss and comprehensive income – general issues</w:t>
      </w:r>
    </w:p>
    <w:p w14:paraId="22E1BE37" w14:textId="77777777" w:rsidR="00E71831" w:rsidRPr="00724D83" w:rsidRDefault="00E71831" w:rsidP="00005E1B">
      <w:pPr>
        <w:pStyle w:val="Head1"/>
      </w:pPr>
      <w:r>
        <w:t>16</w:t>
      </w:r>
      <w:r w:rsidRPr="00724D83">
        <w:t>.1</w:t>
      </w:r>
      <w:r w:rsidRPr="00724D83">
        <w:tab/>
        <w:t>Purpose and scope</w:t>
      </w:r>
    </w:p>
    <w:p w14:paraId="22E1BE38" w14:textId="0ED0E735" w:rsidR="00E71831" w:rsidRDefault="00E71831" w:rsidP="00005E1B">
      <w:pPr>
        <w:pStyle w:val="Text1"/>
      </w:pPr>
      <w:r w:rsidRPr="00724D83">
        <w:t xml:space="preserve">This policy provides guidance on </w:t>
      </w:r>
      <w:r>
        <w:rPr>
          <w:b/>
          <w:bCs/>
        </w:rPr>
        <w:t xml:space="preserve">specific items of profit or loss and comprehensive income </w:t>
      </w:r>
      <w:r w:rsidRPr="00724D83">
        <w:t xml:space="preserve">for </w:t>
      </w:r>
      <w:r>
        <w:t>Samsonite according to I</w:t>
      </w:r>
      <w:r w:rsidR="003B346D">
        <w:t xml:space="preserve">nternational </w:t>
      </w:r>
      <w:r>
        <w:t>F</w:t>
      </w:r>
      <w:r w:rsidR="003B346D">
        <w:t xml:space="preserve">inancial </w:t>
      </w:r>
      <w:r>
        <w:t>R</w:t>
      </w:r>
      <w:r w:rsidR="003B346D">
        <w:t xml:space="preserve">eporting </w:t>
      </w:r>
      <w:r>
        <w:t>S</w:t>
      </w:r>
      <w:r w:rsidR="003B346D">
        <w:t>tandards (“IFRS”)</w:t>
      </w:r>
      <w:r>
        <w:t>.</w:t>
      </w:r>
    </w:p>
    <w:p w14:paraId="4C807489" w14:textId="77777777" w:rsidR="00A246BD" w:rsidRDefault="00A246BD" w:rsidP="00A246BD">
      <w:pPr>
        <w:pStyle w:val="Head1"/>
        <w:numPr>
          <w:ilvl w:val="1"/>
          <w:numId w:val="28"/>
        </w:numPr>
      </w:pPr>
      <w:r>
        <w:t>Specific Requirements</w:t>
      </w:r>
    </w:p>
    <w:p w14:paraId="77037918" w14:textId="1FBF7563" w:rsidR="00A246BD" w:rsidRDefault="00A246BD" w:rsidP="00A246BD">
      <w:pPr>
        <w:pStyle w:val="Head1"/>
        <w:numPr>
          <w:ilvl w:val="0"/>
          <w:numId w:val="29"/>
        </w:numPr>
        <w:rPr>
          <w:b w:val="0"/>
          <w:color w:val="auto"/>
          <w:sz w:val="22"/>
          <w:szCs w:val="22"/>
        </w:rPr>
      </w:pPr>
      <w:r>
        <w:rPr>
          <w:b w:val="0"/>
          <w:color w:val="auto"/>
          <w:sz w:val="22"/>
          <w:szCs w:val="22"/>
        </w:rPr>
        <w:t xml:space="preserve">IFRS requires the </w:t>
      </w:r>
      <w:r w:rsidR="004A0A03">
        <w:rPr>
          <w:b w:val="0"/>
          <w:color w:val="auto"/>
          <w:sz w:val="22"/>
          <w:szCs w:val="22"/>
        </w:rPr>
        <w:t xml:space="preserve">Group </w:t>
      </w:r>
      <w:r>
        <w:rPr>
          <w:b w:val="0"/>
          <w:color w:val="auto"/>
          <w:sz w:val="22"/>
          <w:szCs w:val="22"/>
        </w:rPr>
        <w:t>to present an analysis of expenses recognized in income or loss using a classification based on the function of expenses.</w:t>
      </w:r>
    </w:p>
    <w:p w14:paraId="5B4978F1" w14:textId="0F072711" w:rsidR="00A246BD" w:rsidRDefault="00A246BD" w:rsidP="00A246BD">
      <w:pPr>
        <w:pStyle w:val="Head1"/>
        <w:numPr>
          <w:ilvl w:val="0"/>
          <w:numId w:val="29"/>
        </w:numPr>
        <w:rPr>
          <w:b w:val="0"/>
          <w:color w:val="auto"/>
          <w:sz w:val="22"/>
          <w:szCs w:val="22"/>
        </w:rPr>
      </w:pPr>
      <w:r>
        <w:rPr>
          <w:b w:val="0"/>
          <w:color w:val="auto"/>
          <w:sz w:val="22"/>
          <w:szCs w:val="22"/>
        </w:rPr>
        <w:t xml:space="preserve">IFRS requires the </w:t>
      </w:r>
      <w:r w:rsidR="004A0A03">
        <w:rPr>
          <w:b w:val="0"/>
          <w:color w:val="auto"/>
          <w:sz w:val="22"/>
          <w:szCs w:val="22"/>
        </w:rPr>
        <w:t xml:space="preserve">Group </w:t>
      </w:r>
      <w:r>
        <w:rPr>
          <w:b w:val="0"/>
          <w:color w:val="auto"/>
          <w:sz w:val="22"/>
          <w:szCs w:val="22"/>
        </w:rPr>
        <w:t>to disclose the amount of income tax relating to each component of other comprehensive income, including reclassification adjustments in the statement of comprehensive income.</w:t>
      </w:r>
    </w:p>
    <w:p w14:paraId="2CB18CB2" w14:textId="20727153" w:rsidR="00A246BD" w:rsidRDefault="00A246BD" w:rsidP="00A246BD">
      <w:pPr>
        <w:pStyle w:val="Head1"/>
        <w:numPr>
          <w:ilvl w:val="0"/>
          <w:numId w:val="29"/>
        </w:numPr>
        <w:rPr>
          <w:b w:val="0"/>
          <w:color w:val="auto"/>
          <w:sz w:val="22"/>
          <w:szCs w:val="22"/>
        </w:rPr>
      </w:pPr>
      <w:r>
        <w:rPr>
          <w:b w:val="0"/>
          <w:color w:val="auto"/>
          <w:sz w:val="22"/>
          <w:szCs w:val="22"/>
        </w:rPr>
        <w:t>IFRS requires the</w:t>
      </w:r>
      <w:r w:rsidR="004A0A03">
        <w:rPr>
          <w:b w:val="0"/>
          <w:color w:val="auto"/>
          <w:sz w:val="22"/>
          <w:szCs w:val="22"/>
        </w:rPr>
        <w:t xml:space="preserve"> Group</w:t>
      </w:r>
      <w:r>
        <w:rPr>
          <w:b w:val="0"/>
          <w:color w:val="auto"/>
          <w:sz w:val="22"/>
          <w:szCs w:val="22"/>
        </w:rPr>
        <w:t xml:space="preserve"> to disclose the aggregate amount of research and development expenditure recognized as an expense during the period.</w:t>
      </w:r>
    </w:p>
    <w:p w14:paraId="326F45A8" w14:textId="61722ED4" w:rsidR="00A246BD" w:rsidRDefault="00A246BD" w:rsidP="00A246BD">
      <w:pPr>
        <w:pStyle w:val="Head1"/>
        <w:numPr>
          <w:ilvl w:val="0"/>
          <w:numId w:val="29"/>
        </w:numPr>
        <w:rPr>
          <w:b w:val="0"/>
          <w:color w:val="auto"/>
          <w:sz w:val="22"/>
          <w:szCs w:val="22"/>
        </w:rPr>
      </w:pPr>
      <w:r>
        <w:rPr>
          <w:b w:val="0"/>
          <w:color w:val="auto"/>
          <w:sz w:val="22"/>
          <w:szCs w:val="22"/>
        </w:rPr>
        <w:t xml:space="preserve">IFRS requires the </w:t>
      </w:r>
      <w:r w:rsidR="004A0A03">
        <w:rPr>
          <w:b w:val="0"/>
          <w:color w:val="auto"/>
          <w:sz w:val="22"/>
          <w:szCs w:val="22"/>
        </w:rPr>
        <w:t xml:space="preserve">Group </w:t>
      </w:r>
      <w:r>
        <w:rPr>
          <w:b w:val="0"/>
          <w:color w:val="auto"/>
          <w:sz w:val="22"/>
          <w:szCs w:val="22"/>
        </w:rPr>
        <w:t>to disclose total interest income and total interest expense, calculated using the effective interest method, for financial assets or liabilities that are not at fair value through income or loss.</w:t>
      </w:r>
    </w:p>
    <w:p w14:paraId="71D01253" w14:textId="30D28932" w:rsidR="00A246BD" w:rsidRDefault="006B4E52" w:rsidP="00A246BD">
      <w:pPr>
        <w:pStyle w:val="Head1"/>
        <w:numPr>
          <w:ilvl w:val="0"/>
          <w:numId w:val="29"/>
        </w:numPr>
        <w:rPr>
          <w:b w:val="0"/>
          <w:color w:val="auto"/>
          <w:sz w:val="22"/>
          <w:szCs w:val="22"/>
        </w:rPr>
      </w:pPr>
      <w:r w:rsidRPr="00BB412C">
        <w:rPr>
          <w:b w:val="0"/>
          <w:color w:val="auto"/>
          <w:sz w:val="22"/>
          <w:szCs w:val="22"/>
        </w:rPr>
        <w:t xml:space="preserve">IFRS requires that the </w:t>
      </w:r>
      <w:r>
        <w:rPr>
          <w:b w:val="0"/>
          <w:color w:val="auto"/>
          <w:sz w:val="22"/>
          <w:szCs w:val="22"/>
        </w:rPr>
        <w:t xml:space="preserve">Group </w:t>
      </w:r>
      <w:r w:rsidRPr="00BB412C">
        <w:rPr>
          <w:b w:val="0"/>
          <w:color w:val="auto"/>
          <w:sz w:val="22"/>
          <w:szCs w:val="22"/>
        </w:rPr>
        <w:t>present at a minimum: 1) revenue, 2) gains and losses arising from the de</w:t>
      </w:r>
      <w:r>
        <w:rPr>
          <w:b w:val="0"/>
          <w:color w:val="auto"/>
          <w:sz w:val="22"/>
          <w:szCs w:val="22"/>
        </w:rPr>
        <w:t>-</w:t>
      </w:r>
      <w:r w:rsidRPr="00BB412C">
        <w:rPr>
          <w:b w:val="0"/>
          <w:color w:val="auto"/>
          <w:sz w:val="22"/>
          <w:szCs w:val="22"/>
        </w:rPr>
        <w:t>recognition of financial assets measured at amortized cost, 3) finance costs, 4) share of profit or loss of associates and joint ventures accounted for using the equity method, 5) if a financial asset is reclassified so that it is measured at fair value, any gain or loss arising from a difference between the previous carrying amount and its fair value at the reclassification date (as defined in IFRS 9); 6) tax expense, 7) a single amount comprising the total of: a) the post-tax profit or loss of discontinued operations and b) the post-tax gain or loss recognized on the measurement to fair value less costs to sell or on the disposal of the assets or disposal group(s) constituting the discontinued operation; 8) income or loss, 9) each component of other comprehensive income classified by nature, 10) share of the other comprehensive income of associates and joint venture accounted for using the equity method, and 11) total comprehensive income</w:t>
      </w:r>
      <w:r>
        <w:rPr>
          <w:b w:val="0"/>
          <w:color w:val="auto"/>
          <w:sz w:val="22"/>
          <w:szCs w:val="22"/>
        </w:rPr>
        <w:t>.</w:t>
      </w:r>
    </w:p>
    <w:p w14:paraId="565BE141" w14:textId="77777777" w:rsidR="00A246BD" w:rsidRPr="00BB412C" w:rsidRDefault="00A246BD" w:rsidP="00A246BD">
      <w:pPr>
        <w:pStyle w:val="Head1"/>
        <w:numPr>
          <w:ilvl w:val="0"/>
          <w:numId w:val="29"/>
        </w:numPr>
        <w:rPr>
          <w:b w:val="0"/>
          <w:color w:val="auto"/>
          <w:sz w:val="22"/>
          <w:szCs w:val="22"/>
        </w:rPr>
      </w:pPr>
      <w:r w:rsidRPr="00BB412C">
        <w:rPr>
          <w:b w:val="0"/>
          <w:color w:val="auto"/>
          <w:sz w:val="22"/>
          <w:szCs w:val="22"/>
        </w:rPr>
        <w:t xml:space="preserve">IFRS makes no distinction between ordinary and extraordinary activities, therefore the presentation or disclosure of items of income and expense as extraordinary items is prohibited. </w:t>
      </w:r>
    </w:p>
    <w:p w14:paraId="55202035" w14:textId="77777777" w:rsidR="00A246BD" w:rsidRDefault="00A246BD" w:rsidP="00005E1B">
      <w:pPr>
        <w:pStyle w:val="Text1"/>
      </w:pPr>
    </w:p>
    <w:p w14:paraId="22E1BE41" w14:textId="77777777" w:rsidR="00E71831" w:rsidRPr="00724D83" w:rsidRDefault="00E71831" w:rsidP="00EB52C2">
      <w:pPr>
        <w:pStyle w:val="Head1"/>
      </w:pPr>
      <w:r>
        <w:lastRenderedPageBreak/>
        <w:t>16</w:t>
      </w:r>
      <w:r w:rsidRPr="00724D83">
        <w:t>.3</w:t>
      </w:r>
      <w:r w:rsidRPr="00724D83">
        <w:tab/>
      </w:r>
      <w:r>
        <w:t>Presentation of income and comprehensive income</w:t>
      </w:r>
    </w:p>
    <w:p w14:paraId="22E1BE42" w14:textId="77777777" w:rsidR="00E71831" w:rsidRPr="00724D83" w:rsidRDefault="00E71831" w:rsidP="00EB52C2">
      <w:pPr>
        <w:pStyle w:val="Head1"/>
        <w:tabs>
          <w:tab w:val="left" w:pos="720"/>
        </w:tabs>
      </w:pPr>
      <w:r w:rsidRPr="00724D83">
        <w:t>Presentation of Income Statement</w:t>
      </w:r>
    </w:p>
    <w:p w14:paraId="22E1BE43" w14:textId="2BFB5AB4" w:rsidR="00E71831" w:rsidRDefault="00E71831" w:rsidP="00EB52C2">
      <w:pPr>
        <w:pStyle w:val="Text1kwn"/>
      </w:pPr>
      <w:r w:rsidRPr="00724D83">
        <w:t>IFRS prescribes minimum requirements for line items to be presented in the income statement. IFRS allows companies to present items other than those required if relevant. Based on an analysis of the minimum requirements, the transactions</w:t>
      </w:r>
      <w:r w:rsidR="004A0A03">
        <w:t xml:space="preserve"> the Group </w:t>
      </w:r>
      <w:r w:rsidRPr="00724D83">
        <w:t xml:space="preserve">enters into that give rise to the elements of the income statement and the items that are considered relevant, the format of </w:t>
      </w:r>
      <w:r w:rsidR="004A0A03">
        <w:t xml:space="preserve">the Group’s </w:t>
      </w:r>
      <w:r w:rsidRPr="00724D83">
        <w:t>income statement is as follows:</w:t>
      </w:r>
    </w:p>
    <w:p w14:paraId="70B4AC6D" w14:textId="315E2DC5" w:rsidR="002C2EF7" w:rsidRPr="00724D83" w:rsidRDefault="002C2EF7" w:rsidP="00EB52C2">
      <w:pPr>
        <w:pStyle w:val="Text1kwn"/>
      </w:pPr>
      <w:r w:rsidRPr="002C2EF7">
        <w:rPr>
          <w:noProof/>
        </w:rPr>
        <w:lastRenderedPageBreak/>
        <w:drawing>
          <wp:inline distT="0" distB="0" distL="0" distR="0" wp14:anchorId="050E9D23" wp14:editId="1CAEEE88">
            <wp:extent cx="5806440" cy="600800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6440" cy="6008005"/>
                    </a:xfrm>
                    <a:prstGeom prst="rect">
                      <a:avLst/>
                    </a:prstGeom>
                    <a:noFill/>
                    <a:ln>
                      <a:noFill/>
                    </a:ln>
                  </pic:spPr>
                </pic:pic>
              </a:graphicData>
            </a:graphic>
          </wp:inline>
        </w:drawing>
      </w:r>
    </w:p>
    <w:p w14:paraId="7E018E53" w14:textId="77777777" w:rsidR="002C2EF7" w:rsidRDefault="002C2EF7" w:rsidP="00EB52C2">
      <w:pPr>
        <w:pStyle w:val="Text1"/>
      </w:pPr>
    </w:p>
    <w:p w14:paraId="22E1BF04" w14:textId="1DA2CF11" w:rsidR="00E71831" w:rsidRDefault="006D5CA7" w:rsidP="007B3106">
      <w:pPr>
        <w:pStyle w:val="TOCHead"/>
      </w:pPr>
      <w:bookmarkStart w:id="0" w:name="_GoBack"/>
      <w:r w:rsidRPr="006D5CA7">
        <w:rPr>
          <w:noProof/>
          <w:color w:val="000000"/>
        </w:rPr>
        <w:lastRenderedPageBreak/>
        <w:drawing>
          <wp:inline distT="0" distB="0" distL="0" distR="0" wp14:anchorId="763CDDB5" wp14:editId="2AA7F9FF">
            <wp:extent cx="5796501" cy="391999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6440" cy="3926714"/>
                    </a:xfrm>
                    <a:prstGeom prst="rect">
                      <a:avLst/>
                    </a:prstGeom>
                    <a:noFill/>
                    <a:ln>
                      <a:noFill/>
                    </a:ln>
                  </pic:spPr>
                </pic:pic>
              </a:graphicData>
            </a:graphic>
          </wp:inline>
        </w:drawing>
      </w:r>
      <w:bookmarkEnd w:id="0"/>
    </w:p>
    <w:p w14:paraId="357664B2" w14:textId="77777777" w:rsidR="00644F44" w:rsidRPr="00941B3A" w:rsidRDefault="00644F44" w:rsidP="007B3106">
      <w:pPr>
        <w:pStyle w:val="TOCHead"/>
      </w:pPr>
    </w:p>
    <w:sectPr w:rsidR="00644F44" w:rsidRPr="00941B3A" w:rsidSect="00BC586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65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 wne:kcmPrimary="045A">
      <wne:acd wne:acdName="acd3"/>
    </wne:keymap>
    <wne:keymap wne:kcmPrimary="04C0">
      <wne:acd wne:acdName="acd2"/>
    </wne:keymap>
  </wne:keymaps>
  <wne:toolbars>
    <wne:acdManifest>
      <wne:acdEntry wne:acdName="acd0"/>
      <wne:acdEntry wne:acdName="acd1"/>
      <wne:acdEntry wne:acdName="acd2"/>
      <wne:acdEntry wne:acdName="acd3"/>
    </wne:acdManifest>
  </wne:toolbars>
  <wne:acds>
    <wne:acd wne:argValue="AgBUAGUAeAB0ADEAIABrAHcAbgA=" wne:acdName="acd0" wne:fciIndexBasedOn="0065"/>
    <wne:acd wne:argValue="AgBSAG8AdQBuAGQAIABCAHUAbABsAGUAdAAgAEwAYQBzAHQA" wne:acdName="acd1" wne:fciIndexBasedOn="0065"/>
    <wne:acd wne:argValue="AgBIAGUAYQBkADEA" wne:acdName="acd2" wne:fciIndexBasedOn="0065"/>
    <wne:acd wne:argValue="AgBUAGUAeAB0ADE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1BF07" w14:textId="77777777" w:rsidR="00E71831" w:rsidRPr="00847423" w:rsidRDefault="00E71831" w:rsidP="00847423">
      <w:pPr>
        <w:spacing w:after="0" w:line="240" w:lineRule="auto"/>
        <w:rPr>
          <w:rFonts w:ascii="Calibri" w:hAnsi="Calibri"/>
        </w:rPr>
      </w:pPr>
      <w:r>
        <w:separator/>
      </w:r>
    </w:p>
  </w:endnote>
  <w:endnote w:type="continuationSeparator" w:id="0">
    <w:p w14:paraId="22E1BF08" w14:textId="77777777" w:rsidR="00E71831" w:rsidRPr="00847423" w:rsidRDefault="00E71831" w:rsidP="00847423">
      <w:pPr>
        <w:spacing w:after="0" w:line="240" w:lineRule="auto"/>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79FD3" w14:textId="77777777" w:rsidR="00766704" w:rsidRDefault="00766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94D08" w14:textId="77777777" w:rsidR="00766704" w:rsidRDefault="007667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08104" w14:textId="77777777" w:rsidR="00766704" w:rsidRDefault="00766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1BF05" w14:textId="77777777" w:rsidR="00E71831" w:rsidRPr="00847423" w:rsidRDefault="00E71831" w:rsidP="00847423">
      <w:pPr>
        <w:spacing w:after="0" w:line="240" w:lineRule="auto"/>
        <w:rPr>
          <w:rFonts w:ascii="Calibri" w:hAnsi="Calibri"/>
        </w:rPr>
      </w:pPr>
      <w:r>
        <w:separator/>
      </w:r>
    </w:p>
  </w:footnote>
  <w:footnote w:type="continuationSeparator" w:id="0">
    <w:p w14:paraId="22E1BF06" w14:textId="77777777" w:rsidR="00E71831" w:rsidRPr="00847423" w:rsidRDefault="00E71831" w:rsidP="00847423">
      <w:pPr>
        <w:spacing w:after="0" w:line="240" w:lineRule="auto"/>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C86F3" w14:textId="77777777" w:rsidR="00766704" w:rsidRDefault="007667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752"/>
      <w:gridCol w:w="3203"/>
      <w:gridCol w:w="3405"/>
    </w:tblGrid>
    <w:tr w:rsidR="00766704" w:rsidRPr="000229A7" w14:paraId="4FBDE321" w14:textId="77777777" w:rsidTr="0011751B">
      <w:trPr>
        <w:trHeight w:val="690"/>
      </w:trPr>
      <w:tc>
        <w:tcPr>
          <w:tcW w:w="2752" w:type="dxa"/>
          <w:vMerge w:val="restart"/>
          <w:tcBorders>
            <w:top w:val="double" w:sz="4" w:space="0" w:color="000000"/>
            <w:left w:val="double" w:sz="4" w:space="0" w:color="000000"/>
            <w:right w:val="single" w:sz="4" w:space="0" w:color="000000"/>
          </w:tcBorders>
          <w:vAlign w:val="center"/>
        </w:tcPr>
        <w:p w14:paraId="6D5A392B" w14:textId="5F239869" w:rsidR="00766704" w:rsidRPr="0028799E" w:rsidRDefault="00766704" w:rsidP="00766704">
          <w:pPr>
            <w:pStyle w:val="Default"/>
            <w:jc w:val="center"/>
            <w:rPr>
              <w:b/>
              <w:color w:val="auto"/>
            </w:rPr>
          </w:pPr>
          <w:r>
            <w:rPr>
              <w:b/>
              <w:color w:val="auto"/>
            </w:rPr>
            <w:t>116.0</w:t>
          </w:r>
        </w:p>
      </w:tc>
      <w:tc>
        <w:tcPr>
          <w:tcW w:w="6608" w:type="dxa"/>
          <w:gridSpan w:val="2"/>
          <w:tcBorders>
            <w:top w:val="double" w:sz="4" w:space="0" w:color="000000"/>
            <w:left w:val="single" w:sz="4" w:space="0" w:color="000000"/>
            <w:bottom w:val="single" w:sz="4" w:space="0" w:color="000000"/>
            <w:right w:val="double" w:sz="4" w:space="0" w:color="000000"/>
          </w:tcBorders>
          <w:vAlign w:val="center"/>
        </w:tcPr>
        <w:p w14:paraId="3950118B" w14:textId="77777777" w:rsidR="00766704" w:rsidRPr="000229A7" w:rsidRDefault="00766704" w:rsidP="0011751B">
          <w:pPr>
            <w:pStyle w:val="Default"/>
            <w:jc w:val="center"/>
            <w:rPr>
              <w:b/>
              <w:sz w:val="22"/>
              <w:szCs w:val="22"/>
            </w:rPr>
          </w:pPr>
          <w:r w:rsidRPr="000229A7">
            <w:rPr>
              <w:b/>
              <w:sz w:val="22"/>
              <w:szCs w:val="22"/>
            </w:rPr>
            <w:t>INTERNATIONAL FINANCIAL REPORTING STANDARDS</w:t>
          </w:r>
        </w:p>
      </w:tc>
    </w:tr>
    <w:tr w:rsidR="00766704" w:rsidRPr="000229A7" w14:paraId="74AB7848" w14:textId="77777777" w:rsidTr="0011751B">
      <w:trPr>
        <w:trHeight w:val="735"/>
      </w:trPr>
      <w:tc>
        <w:tcPr>
          <w:tcW w:w="2752" w:type="dxa"/>
          <w:vMerge/>
          <w:tcBorders>
            <w:left w:val="double" w:sz="4" w:space="0" w:color="000000"/>
            <w:bottom w:val="single" w:sz="4" w:space="0" w:color="auto"/>
            <w:right w:val="single" w:sz="4" w:space="0" w:color="000000"/>
          </w:tcBorders>
        </w:tcPr>
        <w:p w14:paraId="42BF3677" w14:textId="77777777" w:rsidR="00766704" w:rsidRPr="000229A7" w:rsidRDefault="00766704" w:rsidP="0011751B">
          <w:pPr>
            <w:pStyle w:val="Default"/>
            <w:rPr>
              <w:color w:val="auto"/>
            </w:rPr>
          </w:pPr>
        </w:p>
      </w:tc>
      <w:tc>
        <w:tcPr>
          <w:tcW w:w="3203" w:type="dxa"/>
          <w:vMerge w:val="restart"/>
          <w:tcBorders>
            <w:top w:val="single" w:sz="4" w:space="0" w:color="000000"/>
            <w:left w:val="single" w:sz="4" w:space="0" w:color="000000"/>
            <w:bottom w:val="nil"/>
            <w:right w:val="single" w:sz="6" w:space="0" w:color="000000"/>
          </w:tcBorders>
          <w:vAlign w:val="center"/>
        </w:tcPr>
        <w:p w14:paraId="3C994607" w14:textId="77777777" w:rsidR="00766704" w:rsidRPr="000229A7" w:rsidRDefault="00766704" w:rsidP="0011751B">
          <w:pPr>
            <w:pStyle w:val="Default"/>
            <w:jc w:val="center"/>
            <w:rPr>
              <w:sz w:val="22"/>
              <w:szCs w:val="22"/>
            </w:rPr>
          </w:pPr>
          <w:r w:rsidRPr="000229A7">
            <w:rPr>
              <w:b/>
              <w:bCs/>
              <w:sz w:val="22"/>
              <w:szCs w:val="22"/>
            </w:rPr>
            <w:t>ACCOUNTING MANUAL</w:t>
          </w:r>
        </w:p>
      </w:tc>
      <w:tc>
        <w:tcPr>
          <w:tcW w:w="3405" w:type="dxa"/>
          <w:vMerge w:val="restart"/>
          <w:tcBorders>
            <w:top w:val="single" w:sz="6" w:space="0" w:color="000000"/>
            <w:left w:val="single" w:sz="6" w:space="0" w:color="000000"/>
            <w:bottom w:val="nil"/>
            <w:right w:val="double" w:sz="6" w:space="0" w:color="000000"/>
          </w:tcBorders>
          <w:vAlign w:val="center"/>
        </w:tcPr>
        <w:p w14:paraId="5F20495E" w14:textId="09783AAB" w:rsidR="00766704" w:rsidRPr="0028799E" w:rsidRDefault="00766704" w:rsidP="00766704">
          <w:pPr>
            <w:pStyle w:val="Default"/>
            <w:jc w:val="center"/>
            <w:rPr>
              <w:b/>
            </w:rPr>
          </w:pPr>
          <w:r>
            <w:rPr>
              <w:b/>
            </w:rPr>
            <w:t>Comprehensive Income</w:t>
          </w:r>
        </w:p>
      </w:tc>
    </w:tr>
    <w:tr w:rsidR="00766704" w:rsidRPr="000229A7" w14:paraId="5628805B" w14:textId="77777777" w:rsidTr="0011751B">
      <w:trPr>
        <w:trHeight w:val="396"/>
      </w:trPr>
      <w:tc>
        <w:tcPr>
          <w:tcW w:w="2752" w:type="dxa"/>
          <w:vMerge w:val="restart"/>
          <w:tcBorders>
            <w:top w:val="single" w:sz="4" w:space="0" w:color="auto"/>
            <w:left w:val="double" w:sz="4" w:space="0" w:color="000000"/>
            <w:right w:val="single" w:sz="4" w:space="0" w:color="000000"/>
          </w:tcBorders>
        </w:tcPr>
        <w:p w14:paraId="713259E4" w14:textId="77777777" w:rsidR="00766704" w:rsidRPr="002E2534" w:rsidRDefault="00766704" w:rsidP="0011751B">
          <w:pPr>
            <w:pStyle w:val="Default"/>
            <w:spacing w:before="120"/>
            <w:jc w:val="center"/>
            <w:rPr>
              <w:b/>
              <w:color w:val="auto"/>
            </w:rPr>
          </w:pPr>
          <w:r>
            <w:rPr>
              <w:b/>
              <w:color w:val="auto"/>
            </w:rPr>
            <w:t>FINANCIAL</w:t>
          </w:r>
          <w:r>
            <w:rPr>
              <w:b/>
              <w:color w:val="auto"/>
            </w:rPr>
            <w:br/>
            <w:t>MANUAL</w:t>
          </w:r>
        </w:p>
      </w:tc>
      <w:tc>
        <w:tcPr>
          <w:tcW w:w="3203" w:type="dxa"/>
          <w:vMerge/>
          <w:tcBorders>
            <w:left w:val="single" w:sz="4" w:space="0" w:color="000000"/>
            <w:right w:val="single" w:sz="6" w:space="0" w:color="000000"/>
          </w:tcBorders>
          <w:vAlign w:val="center"/>
        </w:tcPr>
        <w:p w14:paraId="33AF63B5" w14:textId="77777777" w:rsidR="00766704" w:rsidRPr="000229A7" w:rsidRDefault="00766704" w:rsidP="0011751B">
          <w:pPr>
            <w:pStyle w:val="Default"/>
            <w:jc w:val="center"/>
            <w:rPr>
              <w:b/>
              <w:bCs/>
              <w:sz w:val="22"/>
              <w:szCs w:val="22"/>
            </w:rPr>
          </w:pPr>
        </w:p>
      </w:tc>
      <w:tc>
        <w:tcPr>
          <w:tcW w:w="3405" w:type="dxa"/>
          <w:vMerge/>
          <w:tcBorders>
            <w:left w:val="single" w:sz="6" w:space="0" w:color="000000"/>
            <w:bottom w:val="single" w:sz="4" w:space="0" w:color="000000"/>
            <w:right w:val="double" w:sz="6" w:space="0" w:color="000000"/>
          </w:tcBorders>
        </w:tcPr>
        <w:p w14:paraId="6A90F589" w14:textId="77777777" w:rsidR="00766704" w:rsidRPr="000229A7" w:rsidRDefault="00766704" w:rsidP="0011751B">
          <w:pPr>
            <w:pStyle w:val="Default"/>
            <w:jc w:val="center"/>
            <w:rPr>
              <w:b/>
              <w:bCs/>
              <w:sz w:val="22"/>
              <w:szCs w:val="22"/>
            </w:rPr>
          </w:pPr>
        </w:p>
      </w:tc>
    </w:tr>
    <w:tr w:rsidR="00766704" w:rsidRPr="002E2534" w14:paraId="3FE791A0" w14:textId="77777777" w:rsidTr="0011751B">
      <w:trPr>
        <w:trHeight w:val="275"/>
      </w:trPr>
      <w:tc>
        <w:tcPr>
          <w:tcW w:w="2752" w:type="dxa"/>
          <w:vMerge/>
          <w:tcBorders>
            <w:left w:val="double" w:sz="4" w:space="0" w:color="000000"/>
            <w:right w:val="single" w:sz="4" w:space="0" w:color="000000"/>
          </w:tcBorders>
        </w:tcPr>
        <w:p w14:paraId="6AD0F900" w14:textId="77777777" w:rsidR="00766704" w:rsidRPr="000229A7" w:rsidRDefault="00766704" w:rsidP="0011751B">
          <w:pPr>
            <w:pStyle w:val="Default"/>
            <w:rPr>
              <w:color w:val="auto"/>
            </w:rPr>
          </w:pPr>
        </w:p>
      </w:tc>
      <w:tc>
        <w:tcPr>
          <w:tcW w:w="3203" w:type="dxa"/>
          <w:vMerge/>
          <w:tcBorders>
            <w:left w:val="single" w:sz="4" w:space="0" w:color="000000"/>
            <w:right w:val="single" w:sz="4" w:space="0" w:color="000000"/>
          </w:tcBorders>
          <w:vAlign w:val="center"/>
        </w:tcPr>
        <w:p w14:paraId="6DED5BF3" w14:textId="77777777" w:rsidR="00766704" w:rsidRPr="000229A7" w:rsidRDefault="00766704" w:rsidP="0011751B">
          <w:pPr>
            <w:pStyle w:val="Default"/>
            <w:rPr>
              <w:color w:val="auto"/>
            </w:rPr>
          </w:pPr>
        </w:p>
      </w:tc>
      <w:tc>
        <w:tcPr>
          <w:tcW w:w="3405" w:type="dxa"/>
          <w:tcBorders>
            <w:top w:val="single" w:sz="4" w:space="0" w:color="000000"/>
            <w:left w:val="single" w:sz="4" w:space="0" w:color="000000"/>
            <w:bottom w:val="single" w:sz="4" w:space="0" w:color="000000"/>
            <w:right w:val="double" w:sz="4" w:space="0" w:color="000000"/>
          </w:tcBorders>
          <w:vAlign w:val="center"/>
        </w:tcPr>
        <w:p w14:paraId="45ED6925" w14:textId="77777777" w:rsidR="00766704" w:rsidRPr="002E2534" w:rsidRDefault="00766704" w:rsidP="0011751B">
          <w:pPr>
            <w:pStyle w:val="Default"/>
            <w:jc w:val="center"/>
            <w:rPr>
              <w:b/>
              <w:bCs/>
              <w:sz w:val="20"/>
              <w:szCs w:val="20"/>
            </w:rPr>
          </w:pPr>
          <w:r>
            <w:rPr>
              <w:b/>
              <w:bCs/>
              <w:sz w:val="20"/>
              <w:szCs w:val="20"/>
            </w:rPr>
            <w:t>December 2013 – Version 1.1</w:t>
          </w:r>
        </w:p>
      </w:tc>
    </w:tr>
    <w:tr w:rsidR="00766704" w:rsidRPr="002E2534" w14:paraId="2B919DA4" w14:textId="77777777" w:rsidTr="0011751B">
      <w:trPr>
        <w:trHeight w:val="275"/>
      </w:trPr>
      <w:tc>
        <w:tcPr>
          <w:tcW w:w="2752" w:type="dxa"/>
          <w:tcBorders>
            <w:left w:val="double" w:sz="4" w:space="0" w:color="000000"/>
            <w:bottom w:val="double" w:sz="4" w:space="0" w:color="000000"/>
            <w:right w:val="single" w:sz="4" w:space="0" w:color="000000"/>
          </w:tcBorders>
        </w:tcPr>
        <w:p w14:paraId="31CA7128" w14:textId="77777777" w:rsidR="00766704" w:rsidRPr="000229A7" w:rsidRDefault="00766704" w:rsidP="0011751B">
          <w:pPr>
            <w:pStyle w:val="Default"/>
            <w:rPr>
              <w:color w:val="auto"/>
            </w:rPr>
          </w:pPr>
        </w:p>
      </w:tc>
      <w:tc>
        <w:tcPr>
          <w:tcW w:w="3203" w:type="dxa"/>
          <w:tcBorders>
            <w:left w:val="single" w:sz="4" w:space="0" w:color="000000"/>
            <w:bottom w:val="double" w:sz="4" w:space="0" w:color="000000"/>
            <w:right w:val="single" w:sz="4" w:space="0" w:color="000000"/>
          </w:tcBorders>
          <w:vAlign w:val="center"/>
        </w:tcPr>
        <w:p w14:paraId="3E63D0B1" w14:textId="77777777" w:rsidR="00766704" w:rsidRPr="000229A7" w:rsidRDefault="00766704" w:rsidP="0011751B">
          <w:pPr>
            <w:pStyle w:val="Default"/>
            <w:rPr>
              <w:color w:val="auto"/>
            </w:rPr>
          </w:pPr>
        </w:p>
      </w:tc>
      <w:tc>
        <w:tcPr>
          <w:tcW w:w="3405" w:type="dxa"/>
          <w:tcBorders>
            <w:top w:val="single" w:sz="4" w:space="0" w:color="000000"/>
            <w:left w:val="single" w:sz="4" w:space="0" w:color="000000"/>
            <w:bottom w:val="double" w:sz="4" w:space="0" w:color="000000"/>
            <w:right w:val="double" w:sz="4" w:space="0" w:color="000000"/>
          </w:tcBorders>
          <w:vAlign w:val="center"/>
        </w:tcPr>
        <w:p w14:paraId="1649E2E1" w14:textId="313F59AD" w:rsidR="00766704" w:rsidRDefault="00766704" w:rsidP="003B346D">
          <w:pPr>
            <w:pStyle w:val="Default"/>
            <w:jc w:val="center"/>
            <w:rPr>
              <w:b/>
              <w:bCs/>
              <w:sz w:val="20"/>
              <w:szCs w:val="20"/>
            </w:rPr>
          </w:pPr>
          <w:r>
            <w:rPr>
              <w:b/>
              <w:bCs/>
              <w:sz w:val="20"/>
              <w:szCs w:val="20"/>
            </w:rPr>
            <w:t>Last Reviewed: December 201</w:t>
          </w:r>
          <w:r w:rsidR="003B346D">
            <w:rPr>
              <w:b/>
              <w:bCs/>
              <w:sz w:val="20"/>
              <w:szCs w:val="20"/>
            </w:rPr>
            <w:t>8</w:t>
          </w:r>
        </w:p>
      </w:tc>
    </w:tr>
  </w:tbl>
  <w:p w14:paraId="708BD730" w14:textId="77777777" w:rsidR="00766704" w:rsidRDefault="007667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738CF" w14:textId="77777777" w:rsidR="00766704" w:rsidRDefault="007667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33"/>
    <w:multiLevelType w:val="hybridMultilevel"/>
    <w:tmpl w:val="20ACDD0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604B3"/>
    <w:multiLevelType w:val="hybridMultilevel"/>
    <w:tmpl w:val="D1E02C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EF9"/>
    <w:multiLevelType w:val="multilevel"/>
    <w:tmpl w:val="3C18E560"/>
    <w:lvl w:ilvl="0">
      <w:start w:val="1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C51969"/>
    <w:multiLevelType w:val="hybridMultilevel"/>
    <w:tmpl w:val="2220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45EF5"/>
    <w:multiLevelType w:val="hybridMultilevel"/>
    <w:tmpl w:val="3FFE4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F730F7"/>
    <w:multiLevelType w:val="multilevel"/>
    <w:tmpl w:val="766C72C4"/>
    <w:lvl w:ilvl="0">
      <w:start w:val="18"/>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22134D7"/>
    <w:multiLevelType w:val="hybridMultilevel"/>
    <w:tmpl w:val="ABE01E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385ACA"/>
    <w:multiLevelType w:val="multilevel"/>
    <w:tmpl w:val="85D0E80E"/>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47B723A"/>
    <w:multiLevelType w:val="multilevel"/>
    <w:tmpl w:val="802EE1DA"/>
    <w:lvl w:ilvl="0">
      <w:start w:val="1"/>
      <w:numFmt w:val="decimal"/>
      <w:pStyle w:val="HeadingLevel1"/>
      <w:lvlText w:val="(%1)"/>
      <w:lvlJc w:val="left"/>
      <w:pPr>
        <w:tabs>
          <w:tab w:val="num" w:pos="547"/>
        </w:tabs>
        <w:ind w:left="547" w:hanging="547"/>
      </w:pPr>
      <w:rPr>
        <w:rFonts w:cs="Times New Roman" w:hint="default"/>
      </w:rPr>
    </w:lvl>
    <w:lvl w:ilvl="1">
      <w:start w:val="1"/>
      <w:numFmt w:val="lowerLetter"/>
      <w:pStyle w:val="HeadingLevel2"/>
      <w:lvlText w:val="(%2)"/>
      <w:lvlJc w:val="left"/>
      <w:pPr>
        <w:tabs>
          <w:tab w:val="num" w:pos="1094"/>
        </w:tabs>
        <w:ind w:left="1094" w:hanging="547"/>
      </w:pPr>
      <w:rPr>
        <w:rFonts w:cs="Times New Roman" w:hint="default"/>
        <w:b/>
        <w: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5BF6422"/>
    <w:multiLevelType w:val="hybridMultilevel"/>
    <w:tmpl w:val="83B67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DF6D69"/>
    <w:multiLevelType w:val="hybridMultilevel"/>
    <w:tmpl w:val="94D63E86"/>
    <w:lvl w:ilvl="0" w:tplc="4A4CD8AC">
      <w:start w:val="1"/>
      <w:numFmt w:val="bullet"/>
      <w:lvlText w:val=""/>
      <w:lvlJc w:val="left"/>
      <w:pPr>
        <w:tabs>
          <w:tab w:val="num" w:pos="630"/>
        </w:tabs>
        <w:ind w:left="630" w:hanging="216"/>
      </w:pPr>
      <w:rPr>
        <w:rFonts w:ascii="Symbol" w:hAnsi="Symbol" w:hint="default"/>
        <w:color w:val="auto"/>
        <w:sz w:val="24"/>
      </w:rPr>
    </w:lvl>
    <w:lvl w:ilvl="1" w:tplc="D7FC6AB2">
      <w:start w:val="1"/>
      <w:numFmt w:val="bullet"/>
      <w:lvlText w:val=""/>
      <w:lvlJc w:val="left"/>
      <w:pPr>
        <w:tabs>
          <w:tab w:val="num" w:pos="1494"/>
        </w:tabs>
        <w:ind w:left="1494" w:hanging="360"/>
      </w:pPr>
      <w:rPr>
        <w:rFonts w:ascii="Wingdings" w:hAnsi="Wingdings" w:hint="default"/>
        <w:color w:val="auto"/>
        <w:sz w:val="18"/>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1">
    <w:nsid w:val="1D340E48"/>
    <w:multiLevelType w:val="hybridMultilevel"/>
    <w:tmpl w:val="2974C48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87105D"/>
    <w:multiLevelType w:val="hybridMultilevel"/>
    <w:tmpl w:val="E17CE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F6E38"/>
    <w:multiLevelType w:val="hybridMultilevel"/>
    <w:tmpl w:val="6C685F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B52DC6"/>
    <w:multiLevelType w:val="hybridMultilevel"/>
    <w:tmpl w:val="8F868B56"/>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95620"/>
    <w:multiLevelType w:val="hybridMultilevel"/>
    <w:tmpl w:val="A38CC3FE"/>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985A13"/>
    <w:multiLevelType w:val="multilevel"/>
    <w:tmpl w:val="CCFEE73E"/>
    <w:lvl w:ilvl="0">
      <w:start w:val="18"/>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6BA6C6B"/>
    <w:multiLevelType w:val="multilevel"/>
    <w:tmpl w:val="08669D96"/>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1800DF"/>
    <w:multiLevelType w:val="hybridMultilevel"/>
    <w:tmpl w:val="B434AF6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C005FD"/>
    <w:multiLevelType w:val="hybridMultilevel"/>
    <w:tmpl w:val="D8328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617340"/>
    <w:multiLevelType w:val="hybridMultilevel"/>
    <w:tmpl w:val="89D636D8"/>
    <w:lvl w:ilvl="0" w:tplc="7C30ABFA">
      <w:start w:val="1"/>
      <w:numFmt w:val="bullet"/>
      <w:pStyle w:val="Round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5852A310">
      <w:start w:val="3"/>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6B6E27"/>
    <w:multiLevelType w:val="hybridMultilevel"/>
    <w:tmpl w:val="21D0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D63858"/>
    <w:multiLevelType w:val="multilevel"/>
    <w:tmpl w:val="9A6A5E82"/>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E715D81"/>
    <w:multiLevelType w:val="hybridMultilevel"/>
    <w:tmpl w:val="CFC6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C74BE6"/>
    <w:multiLevelType w:val="hybridMultilevel"/>
    <w:tmpl w:val="625E1B72"/>
    <w:lvl w:ilvl="0" w:tplc="E9C26490">
      <w:start w:val="1"/>
      <w:numFmt w:val="bullet"/>
      <w:pStyle w:val="Square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741B2"/>
    <w:multiLevelType w:val="multilevel"/>
    <w:tmpl w:val="239C6ED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36B90E7C"/>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8794907"/>
    <w:multiLevelType w:val="hybridMultilevel"/>
    <w:tmpl w:val="AD3C47C8"/>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963C4D"/>
    <w:multiLevelType w:val="multilevel"/>
    <w:tmpl w:val="1BA62F0C"/>
    <w:lvl w:ilvl="0">
      <w:start w:val="1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3BEE5597"/>
    <w:multiLevelType w:val="hybridMultilevel"/>
    <w:tmpl w:val="A530D2D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EF4B07"/>
    <w:multiLevelType w:val="hybridMultilevel"/>
    <w:tmpl w:val="3968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FB40DA0"/>
    <w:multiLevelType w:val="hybridMultilevel"/>
    <w:tmpl w:val="AC5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ED3D54"/>
    <w:multiLevelType w:val="hybridMultilevel"/>
    <w:tmpl w:val="E49A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0B18D0"/>
    <w:multiLevelType w:val="hybridMultilevel"/>
    <w:tmpl w:val="FE88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602D7D"/>
    <w:multiLevelType w:val="hybridMultilevel"/>
    <w:tmpl w:val="B6683BC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FE32F2"/>
    <w:multiLevelType w:val="hybridMultilevel"/>
    <w:tmpl w:val="5F524086"/>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6F2634"/>
    <w:multiLevelType w:val="multilevel"/>
    <w:tmpl w:val="C898F974"/>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03E1811"/>
    <w:multiLevelType w:val="multilevel"/>
    <w:tmpl w:val="F9F27836"/>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start w:val="1"/>
      <w:numFmt w:val="decimal"/>
      <w:lvlText w:val="%1.5.2"/>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32F6757"/>
    <w:multiLevelType w:val="hybridMultilevel"/>
    <w:tmpl w:val="814CEA16"/>
    <w:lvl w:ilvl="0" w:tplc="04090005">
      <w:start w:val="1"/>
      <w:numFmt w:val="bullet"/>
      <w:lvlText w:val=""/>
      <w:lvlJc w:val="left"/>
      <w:pPr>
        <w:tabs>
          <w:tab w:val="num" w:pos="900"/>
        </w:tabs>
        <w:ind w:left="90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291227"/>
    <w:multiLevelType w:val="multilevel"/>
    <w:tmpl w:val="292AB534"/>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numFmt w:val="decimal"/>
      <w:lvlText w:val="%1.5.1"/>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AA10CD0"/>
    <w:multiLevelType w:val="hybridMultilevel"/>
    <w:tmpl w:val="6D108CFE"/>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AF10848"/>
    <w:multiLevelType w:val="multilevel"/>
    <w:tmpl w:val="CDA839EE"/>
    <w:lvl w:ilvl="0">
      <w:start w:val="1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5C7E0622"/>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5D2948E8"/>
    <w:multiLevelType w:val="hybridMultilevel"/>
    <w:tmpl w:val="C79C4668"/>
    <w:lvl w:ilvl="0" w:tplc="94142C3E">
      <w:start w:val="1"/>
      <w:numFmt w:val="bullet"/>
      <w:pStyle w:val="Table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DB6F13"/>
    <w:multiLevelType w:val="multilevel"/>
    <w:tmpl w:val="DEF6435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5ECD34FE"/>
    <w:multiLevelType w:val="hybridMultilevel"/>
    <w:tmpl w:val="68BA223C"/>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CD361C"/>
    <w:multiLevelType w:val="multilevel"/>
    <w:tmpl w:val="06A2F7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62146419"/>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6A712C58"/>
    <w:multiLevelType w:val="hybridMultilevel"/>
    <w:tmpl w:val="F4BC617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nsid w:val="6D354ADC"/>
    <w:multiLevelType w:val="hybridMultilevel"/>
    <w:tmpl w:val="426C74B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10F0A24"/>
    <w:multiLevelType w:val="multilevel"/>
    <w:tmpl w:val="6C3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A75932"/>
    <w:multiLevelType w:val="hybridMultilevel"/>
    <w:tmpl w:val="5DB8D3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2">
    <w:nsid w:val="725440E5"/>
    <w:multiLevelType w:val="multilevel"/>
    <w:tmpl w:val="A7841A22"/>
    <w:lvl w:ilvl="0">
      <w:start w:val="19"/>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75116485"/>
    <w:multiLevelType w:val="hybridMultilevel"/>
    <w:tmpl w:val="FA58B2DE"/>
    <w:lvl w:ilvl="0" w:tplc="005C1A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812577"/>
    <w:multiLevelType w:val="hybridMultilevel"/>
    <w:tmpl w:val="D9BC8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901666C"/>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79352981"/>
    <w:multiLevelType w:val="hybridMultilevel"/>
    <w:tmpl w:val="DC90F9DE"/>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F72B24"/>
    <w:multiLevelType w:val="hybridMultilevel"/>
    <w:tmpl w:val="8F647E7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33"/>
  </w:num>
  <w:num w:numId="4">
    <w:abstractNumId w:val="53"/>
  </w:num>
  <w:num w:numId="5">
    <w:abstractNumId w:val="24"/>
  </w:num>
  <w:num w:numId="6">
    <w:abstractNumId w:val="45"/>
  </w:num>
  <w:num w:numId="7">
    <w:abstractNumId w:val="14"/>
  </w:num>
  <w:num w:numId="8">
    <w:abstractNumId w:val="34"/>
  </w:num>
  <w:num w:numId="9">
    <w:abstractNumId w:val="56"/>
  </w:num>
  <w:num w:numId="10">
    <w:abstractNumId w:val="57"/>
  </w:num>
  <w:num w:numId="11">
    <w:abstractNumId w:val="8"/>
  </w:num>
  <w:num w:numId="12">
    <w:abstractNumId w:val="8"/>
    <w:lvlOverride w:ilvl="0">
      <w:startOverride w:val="1"/>
    </w:lvlOverride>
    <w:lvlOverride w:ilvl="1">
      <w:startOverride w:val="2"/>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14">
    <w:abstractNumId w:val="19"/>
  </w:num>
  <w:num w:numId="15">
    <w:abstractNumId w:val="25"/>
  </w:num>
  <w:num w:numId="16">
    <w:abstractNumId w:val="30"/>
  </w:num>
  <w:num w:numId="17">
    <w:abstractNumId w:val="23"/>
  </w:num>
  <w:num w:numId="18">
    <w:abstractNumId w:val="2"/>
  </w:num>
  <w:num w:numId="19">
    <w:abstractNumId w:val="1"/>
  </w:num>
  <w:num w:numId="20">
    <w:abstractNumId w:val="9"/>
  </w:num>
  <w:num w:numId="21">
    <w:abstractNumId w:val="12"/>
  </w:num>
  <w:num w:numId="22">
    <w:abstractNumId w:val="36"/>
  </w:num>
  <w:num w:numId="23">
    <w:abstractNumId w:val="17"/>
  </w:num>
  <w:num w:numId="24">
    <w:abstractNumId w:val="7"/>
  </w:num>
  <w:num w:numId="25">
    <w:abstractNumId w:val="4"/>
  </w:num>
  <w:num w:numId="26">
    <w:abstractNumId w:val="13"/>
  </w:num>
  <w:num w:numId="27">
    <w:abstractNumId w:val="54"/>
  </w:num>
  <w:num w:numId="28">
    <w:abstractNumId w:val="47"/>
  </w:num>
  <w:num w:numId="29">
    <w:abstractNumId w:val="48"/>
  </w:num>
  <w:num w:numId="30">
    <w:abstractNumId w:val="41"/>
  </w:num>
  <w:num w:numId="31">
    <w:abstractNumId w:val="28"/>
  </w:num>
  <w:num w:numId="32">
    <w:abstractNumId w:val="52"/>
  </w:num>
  <w:num w:numId="33">
    <w:abstractNumId w:val="38"/>
  </w:num>
  <w:num w:numId="34">
    <w:abstractNumId w:val="22"/>
  </w:num>
  <w:num w:numId="35">
    <w:abstractNumId w:val="10"/>
  </w:num>
  <w:num w:numId="36">
    <w:abstractNumId w:val="18"/>
  </w:num>
  <w:num w:numId="37">
    <w:abstractNumId w:val="50"/>
  </w:num>
  <w:num w:numId="38">
    <w:abstractNumId w:val="27"/>
  </w:num>
  <w:num w:numId="39">
    <w:abstractNumId w:val="46"/>
  </w:num>
  <w:num w:numId="40">
    <w:abstractNumId w:val="15"/>
  </w:num>
  <w:num w:numId="41">
    <w:abstractNumId w:val="37"/>
  </w:num>
  <w:num w:numId="42">
    <w:abstractNumId w:val="35"/>
  </w:num>
  <w:num w:numId="43">
    <w:abstractNumId w:val="49"/>
  </w:num>
  <w:num w:numId="44">
    <w:abstractNumId w:val="39"/>
  </w:num>
  <w:num w:numId="45">
    <w:abstractNumId w:val="5"/>
  </w:num>
  <w:num w:numId="46">
    <w:abstractNumId w:val="16"/>
  </w:num>
  <w:num w:numId="47">
    <w:abstractNumId w:val="29"/>
  </w:num>
  <w:num w:numId="48">
    <w:abstractNumId w:val="3"/>
  </w:num>
  <w:num w:numId="49">
    <w:abstractNumId w:val="31"/>
  </w:num>
  <w:num w:numId="50">
    <w:abstractNumId w:val="0"/>
  </w:num>
  <w:num w:numId="51">
    <w:abstractNumId w:val="40"/>
  </w:num>
  <w:num w:numId="52">
    <w:abstractNumId w:val="51"/>
  </w:num>
  <w:num w:numId="53">
    <w:abstractNumId w:val="21"/>
  </w:num>
  <w:num w:numId="54">
    <w:abstractNumId w:val="32"/>
  </w:num>
  <w:num w:numId="55">
    <w:abstractNumId w:val="44"/>
  </w:num>
  <w:num w:numId="56">
    <w:abstractNumId w:val="26"/>
  </w:num>
  <w:num w:numId="57">
    <w:abstractNumId w:val="42"/>
  </w:num>
  <w:num w:numId="58">
    <w:abstractNumId w:val="55"/>
  </w:num>
  <w:num w:numId="59">
    <w:abstractNumId w:val="11"/>
  </w:num>
  <w:num w:numId="60">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43"/>
    <w:rsid w:val="00003C6D"/>
    <w:rsid w:val="00005220"/>
    <w:rsid w:val="00005E1B"/>
    <w:rsid w:val="0000616D"/>
    <w:rsid w:val="0000619F"/>
    <w:rsid w:val="00010DFD"/>
    <w:rsid w:val="00011AB1"/>
    <w:rsid w:val="000128ED"/>
    <w:rsid w:val="00017A25"/>
    <w:rsid w:val="0002029F"/>
    <w:rsid w:val="00020706"/>
    <w:rsid w:val="0002135B"/>
    <w:rsid w:val="000221AB"/>
    <w:rsid w:val="00022901"/>
    <w:rsid w:val="000229A7"/>
    <w:rsid w:val="00023339"/>
    <w:rsid w:val="00023764"/>
    <w:rsid w:val="00024E95"/>
    <w:rsid w:val="00025958"/>
    <w:rsid w:val="0002617D"/>
    <w:rsid w:val="0002687F"/>
    <w:rsid w:val="00026935"/>
    <w:rsid w:val="00030BF1"/>
    <w:rsid w:val="00031856"/>
    <w:rsid w:val="000323B3"/>
    <w:rsid w:val="00032551"/>
    <w:rsid w:val="00032D23"/>
    <w:rsid w:val="00034EBF"/>
    <w:rsid w:val="00040596"/>
    <w:rsid w:val="00041A3B"/>
    <w:rsid w:val="00042390"/>
    <w:rsid w:val="00043615"/>
    <w:rsid w:val="00046809"/>
    <w:rsid w:val="0004785B"/>
    <w:rsid w:val="00050044"/>
    <w:rsid w:val="00050170"/>
    <w:rsid w:val="00056F8D"/>
    <w:rsid w:val="000609A9"/>
    <w:rsid w:val="00063F9E"/>
    <w:rsid w:val="000651EF"/>
    <w:rsid w:val="000652AF"/>
    <w:rsid w:val="00066F68"/>
    <w:rsid w:val="00070CCA"/>
    <w:rsid w:val="000750CC"/>
    <w:rsid w:val="00075B4F"/>
    <w:rsid w:val="00076A0E"/>
    <w:rsid w:val="00081B1A"/>
    <w:rsid w:val="00084526"/>
    <w:rsid w:val="00085BBF"/>
    <w:rsid w:val="0009259E"/>
    <w:rsid w:val="000940DE"/>
    <w:rsid w:val="00095402"/>
    <w:rsid w:val="00095518"/>
    <w:rsid w:val="00095598"/>
    <w:rsid w:val="000959F7"/>
    <w:rsid w:val="00096728"/>
    <w:rsid w:val="000A0488"/>
    <w:rsid w:val="000A16A4"/>
    <w:rsid w:val="000A17A0"/>
    <w:rsid w:val="000A739C"/>
    <w:rsid w:val="000A7527"/>
    <w:rsid w:val="000A757E"/>
    <w:rsid w:val="000B11AA"/>
    <w:rsid w:val="000B2FA4"/>
    <w:rsid w:val="000B31EF"/>
    <w:rsid w:val="000B404D"/>
    <w:rsid w:val="000B53DC"/>
    <w:rsid w:val="000B5DDD"/>
    <w:rsid w:val="000B5EB7"/>
    <w:rsid w:val="000C09EA"/>
    <w:rsid w:val="000C0C56"/>
    <w:rsid w:val="000C2E74"/>
    <w:rsid w:val="000C3A21"/>
    <w:rsid w:val="000C7A19"/>
    <w:rsid w:val="000D04A9"/>
    <w:rsid w:val="000D065F"/>
    <w:rsid w:val="000D19F2"/>
    <w:rsid w:val="000D35A0"/>
    <w:rsid w:val="000D5DB9"/>
    <w:rsid w:val="000D7056"/>
    <w:rsid w:val="000E1B73"/>
    <w:rsid w:val="000E48AB"/>
    <w:rsid w:val="000E48BE"/>
    <w:rsid w:val="000E491F"/>
    <w:rsid w:val="000E505D"/>
    <w:rsid w:val="000E579D"/>
    <w:rsid w:val="000F07B6"/>
    <w:rsid w:val="000F0B3E"/>
    <w:rsid w:val="000F22A7"/>
    <w:rsid w:val="000F28A2"/>
    <w:rsid w:val="000F2B2E"/>
    <w:rsid w:val="000F436D"/>
    <w:rsid w:val="000F4AC6"/>
    <w:rsid w:val="000F51B9"/>
    <w:rsid w:val="00100CC8"/>
    <w:rsid w:val="001026F4"/>
    <w:rsid w:val="00102FD5"/>
    <w:rsid w:val="00111ABF"/>
    <w:rsid w:val="00114264"/>
    <w:rsid w:val="0011544E"/>
    <w:rsid w:val="0011564E"/>
    <w:rsid w:val="00116277"/>
    <w:rsid w:val="001200EF"/>
    <w:rsid w:val="00121A6B"/>
    <w:rsid w:val="0012204B"/>
    <w:rsid w:val="00125826"/>
    <w:rsid w:val="00126075"/>
    <w:rsid w:val="00126BF0"/>
    <w:rsid w:val="00127220"/>
    <w:rsid w:val="001273CF"/>
    <w:rsid w:val="001303CF"/>
    <w:rsid w:val="00130EF0"/>
    <w:rsid w:val="001313B2"/>
    <w:rsid w:val="00131C2A"/>
    <w:rsid w:val="00131D3F"/>
    <w:rsid w:val="001338CD"/>
    <w:rsid w:val="00134187"/>
    <w:rsid w:val="00134DAF"/>
    <w:rsid w:val="00135B1C"/>
    <w:rsid w:val="00137CD7"/>
    <w:rsid w:val="001403BF"/>
    <w:rsid w:val="0014274A"/>
    <w:rsid w:val="001435F8"/>
    <w:rsid w:val="001509FF"/>
    <w:rsid w:val="00153CC9"/>
    <w:rsid w:val="00154EC1"/>
    <w:rsid w:val="001578EF"/>
    <w:rsid w:val="0015791C"/>
    <w:rsid w:val="001615AA"/>
    <w:rsid w:val="00162A50"/>
    <w:rsid w:val="00165456"/>
    <w:rsid w:val="00165832"/>
    <w:rsid w:val="00165DCF"/>
    <w:rsid w:val="00166A8D"/>
    <w:rsid w:val="001719E4"/>
    <w:rsid w:val="001732C8"/>
    <w:rsid w:val="0018212A"/>
    <w:rsid w:val="001845E1"/>
    <w:rsid w:val="00184AEA"/>
    <w:rsid w:val="00184D3A"/>
    <w:rsid w:val="00185F1E"/>
    <w:rsid w:val="00186C94"/>
    <w:rsid w:val="00190698"/>
    <w:rsid w:val="0019227B"/>
    <w:rsid w:val="00192E0C"/>
    <w:rsid w:val="001A1115"/>
    <w:rsid w:val="001A1DDD"/>
    <w:rsid w:val="001A2CE1"/>
    <w:rsid w:val="001A4A33"/>
    <w:rsid w:val="001A6E4B"/>
    <w:rsid w:val="001A7AE8"/>
    <w:rsid w:val="001B2146"/>
    <w:rsid w:val="001B39E8"/>
    <w:rsid w:val="001B472F"/>
    <w:rsid w:val="001B4A3C"/>
    <w:rsid w:val="001C0CC6"/>
    <w:rsid w:val="001C0FBD"/>
    <w:rsid w:val="001C17AC"/>
    <w:rsid w:val="001C2544"/>
    <w:rsid w:val="001C3E97"/>
    <w:rsid w:val="001C4321"/>
    <w:rsid w:val="001C63EE"/>
    <w:rsid w:val="001D3540"/>
    <w:rsid w:val="001D64F5"/>
    <w:rsid w:val="001D64F7"/>
    <w:rsid w:val="001E0ACE"/>
    <w:rsid w:val="001E0C93"/>
    <w:rsid w:val="001E715D"/>
    <w:rsid w:val="001F0FC4"/>
    <w:rsid w:val="001F45D6"/>
    <w:rsid w:val="00200FB2"/>
    <w:rsid w:val="00203263"/>
    <w:rsid w:val="002042DB"/>
    <w:rsid w:val="0020531A"/>
    <w:rsid w:val="00206899"/>
    <w:rsid w:val="00206DCC"/>
    <w:rsid w:val="0021506F"/>
    <w:rsid w:val="002154FC"/>
    <w:rsid w:val="00215B72"/>
    <w:rsid w:val="00217C0B"/>
    <w:rsid w:val="00217E2B"/>
    <w:rsid w:val="00220359"/>
    <w:rsid w:val="00222605"/>
    <w:rsid w:val="00230572"/>
    <w:rsid w:val="00231152"/>
    <w:rsid w:val="00233263"/>
    <w:rsid w:val="00233C13"/>
    <w:rsid w:val="00234930"/>
    <w:rsid w:val="0024068E"/>
    <w:rsid w:val="00241797"/>
    <w:rsid w:val="00244560"/>
    <w:rsid w:val="00244720"/>
    <w:rsid w:val="00244833"/>
    <w:rsid w:val="00245F0F"/>
    <w:rsid w:val="00247172"/>
    <w:rsid w:val="00247360"/>
    <w:rsid w:val="00247926"/>
    <w:rsid w:val="002505DA"/>
    <w:rsid w:val="00252493"/>
    <w:rsid w:val="00253115"/>
    <w:rsid w:val="0025321D"/>
    <w:rsid w:val="002542E7"/>
    <w:rsid w:val="00255469"/>
    <w:rsid w:val="002631F7"/>
    <w:rsid w:val="0027349C"/>
    <w:rsid w:val="00274D93"/>
    <w:rsid w:val="00284C51"/>
    <w:rsid w:val="0028799E"/>
    <w:rsid w:val="00290136"/>
    <w:rsid w:val="00291FE2"/>
    <w:rsid w:val="00293B4A"/>
    <w:rsid w:val="002968D7"/>
    <w:rsid w:val="0029744F"/>
    <w:rsid w:val="002974B7"/>
    <w:rsid w:val="002A067C"/>
    <w:rsid w:val="002A2093"/>
    <w:rsid w:val="002A4197"/>
    <w:rsid w:val="002A4B27"/>
    <w:rsid w:val="002A7B4C"/>
    <w:rsid w:val="002B366D"/>
    <w:rsid w:val="002B3E42"/>
    <w:rsid w:val="002B5FB8"/>
    <w:rsid w:val="002B6505"/>
    <w:rsid w:val="002B7969"/>
    <w:rsid w:val="002B7A0D"/>
    <w:rsid w:val="002B7E1A"/>
    <w:rsid w:val="002C03B1"/>
    <w:rsid w:val="002C18E1"/>
    <w:rsid w:val="002C2CF2"/>
    <w:rsid w:val="002C2EF7"/>
    <w:rsid w:val="002C5289"/>
    <w:rsid w:val="002C7FB6"/>
    <w:rsid w:val="002D177E"/>
    <w:rsid w:val="002D21FB"/>
    <w:rsid w:val="002D4E57"/>
    <w:rsid w:val="002D6C5B"/>
    <w:rsid w:val="002D6D93"/>
    <w:rsid w:val="002E0AB4"/>
    <w:rsid w:val="002E1CA3"/>
    <w:rsid w:val="002E216A"/>
    <w:rsid w:val="002E2534"/>
    <w:rsid w:val="002E45C2"/>
    <w:rsid w:val="002F146C"/>
    <w:rsid w:val="002F1AE5"/>
    <w:rsid w:val="002F3329"/>
    <w:rsid w:val="002F3690"/>
    <w:rsid w:val="002F4ACE"/>
    <w:rsid w:val="002F5F73"/>
    <w:rsid w:val="002F6760"/>
    <w:rsid w:val="002F6A7D"/>
    <w:rsid w:val="003019DE"/>
    <w:rsid w:val="0030476E"/>
    <w:rsid w:val="003055EB"/>
    <w:rsid w:val="00305C3B"/>
    <w:rsid w:val="003079AF"/>
    <w:rsid w:val="003139AF"/>
    <w:rsid w:val="00314596"/>
    <w:rsid w:val="00315735"/>
    <w:rsid w:val="0032151B"/>
    <w:rsid w:val="00323858"/>
    <w:rsid w:val="00325BEF"/>
    <w:rsid w:val="003270E3"/>
    <w:rsid w:val="00333245"/>
    <w:rsid w:val="003350E7"/>
    <w:rsid w:val="00335C92"/>
    <w:rsid w:val="0034254E"/>
    <w:rsid w:val="0034385E"/>
    <w:rsid w:val="00343AF3"/>
    <w:rsid w:val="00344902"/>
    <w:rsid w:val="0034699E"/>
    <w:rsid w:val="00346F59"/>
    <w:rsid w:val="003473DB"/>
    <w:rsid w:val="00350E67"/>
    <w:rsid w:val="00355B3A"/>
    <w:rsid w:val="003608F9"/>
    <w:rsid w:val="00365F83"/>
    <w:rsid w:val="00373ECB"/>
    <w:rsid w:val="0037737D"/>
    <w:rsid w:val="00381400"/>
    <w:rsid w:val="003836AA"/>
    <w:rsid w:val="00385AB9"/>
    <w:rsid w:val="00386E4A"/>
    <w:rsid w:val="00387FBC"/>
    <w:rsid w:val="00391524"/>
    <w:rsid w:val="003925EF"/>
    <w:rsid w:val="0039339F"/>
    <w:rsid w:val="00394FF0"/>
    <w:rsid w:val="00396741"/>
    <w:rsid w:val="00397389"/>
    <w:rsid w:val="003A084D"/>
    <w:rsid w:val="003A0951"/>
    <w:rsid w:val="003A252A"/>
    <w:rsid w:val="003A27D8"/>
    <w:rsid w:val="003A4B86"/>
    <w:rsid w:val="003A774B"/>
    <w:rsid w:val="003A7B2F"/>
    <w:rsid w:val="003B346D"/>
    <w:rsid w:val="003B6F48"/>
    <w:rsid w:val="003C1ECB"/>
    <w:rsid w:val="003C3BD8"/>
    <w:rsid w:val="003C43AD"/>
    <w:rsid w:val="003D02A4"/>
    <w:rsid w:val="003D43B8"/>
    <w:rsid w:val="003D633F"/>
    <w:rsid w:val="003D6569"/>
    <w:rsid w:val="003E0B8D"/>
    <w:rsid w:val="003E162C"/>
    <w:rsid w:val="003E2295"/>
    <w:rsid w:val="003E3397"/>
    <w:rsid w:val="003E4330"/>
    <w:rsid w:val="003E67B3"/>
    <w:rsid w:val="003E709D"/>
    <w:rsid w:val="003F19E2"/>
    <w:rsid w:val="00400AA2"/>
    <w:rsid w:val="00401DA6"/>
    <w:rsid w:val="00402848"/>
    <w:rsid w:val="0040344B"/>
    <w:rsid w:val="0040574F"/>
    <w:rsid w:val="004107A7"/>
    <w:rsid w:val="00414A5D"/>
    <w:rsid w:val="00414D2B"/>
    <w:rsid w:val="00414E57"/>
    <w:rsid w:val="0041695D"/>
    <w:rsid w:val="00417A44"/>
    <w:rsid w:val="00421298"/>
    <w:rsid w:val="00422DDE"/>
    <w:rsid w:val="00425556"/>
    <w:rsid w:val="0043664C"/>
    <w:rsid w:val="0043731F"/>
    <w:rsid w:val="004454EE"/>
    <w:rsid w:val="00453BDB"/>
    <w:rsid w:val="00457FD5"/>
    <w:rsid w:val="004630ED"/>
    <w:rsid w:val="00467840"/>
    <w:rsid w:val="00467C74"/>
    <w:rsid w:val="00470164"/>
    <w:rsid w:val="00470E24"/>
    <w:rsid w:val="00473535"/>
    <w:rsid w:val="00473881"/>
    <w:rsid w:val="00481B69"/>
    <w:rsid w:val="004820D7"/>
    <w:rsid w:val="00482FBC"/>
    <w:rsid w:val="00485D8A"/>
    <w:rsid w:val="004876C9"/>
    <w:rsid w:val="00490D63"/>
    <w:rsid w:val="004912F4"/>
    <w:rsid w:val="0049630F"/>
    <w:rsid w:val="004A01B2"/>
    <w:rsid w:val="004A0A03"/>
    <w:rsid w:val="004A3158"/>
    <w:rsid w:val="004B23F3"/>
    <w:rsid w:val="004B676F"/>
    <w:rsid w:val="004C0DF5"/>
    <w:rsid w:val="004C1C58"/>
    <w:rsid w:val="004C23E2"/>
    <w:rsid w:val="004C38B5"/>
    <w:rsid w:val="004D0752"/>
    <w:rsid w:val="004D22CE"/>
    <w:rsid w:val="004D5B63"/>
    <w:rsid w:val="004D6BA4"/>
    <w:rsid w:val="004D7A1B"/>
    <w:rsid w:val="004E00D4"/>
    <w:rsid w:val="004E01E8"/>
    <w:rsid w:val="004E0719"/>
    <w:rsid w:val="004E1A04"/>
    <w:rsid w:val="004E2A45"/>
    <w:rsid w:val="004E3B71"/>
    <w:rsid w:val="004E4609"/>
    <w:rsid w:val="004E7386"/>
    <w:rsid w:val="004E79E6"/>
    <w:rsid w:val="004F38E5"/>
    <w:rsid w:val="004F4E44"/>
    <w:rsid w:val="004F4E5B"/>
    <w:rsid w:val="005030ED"/>
    <w:rsid w:val="0050526D"/>
    <w:rsid w:val="005057E7"/>
    <w:rsid w:val="00511469"/>
    <w:rsid w:val="005144EB"/>
    <w:rsid w:val="00514650"/>
    <w:rsid w:val="00516A7C"/>
    <w:rsid w:val="005205FC"/>
    <w:rsid w:val="00520E36"/>
    <w:rsid w:val="00522891"/>
    <w:rsid w:val="0052371A"/>
    <w:rsid w:val="00526438"/>
    <w:rsid w:val="005324F4"/>
    <w:rsid w:val="00535D52"/>
    <w:rsid w:val="0053703A"/>
    <w:rsid w:val="00540A57"/>
    <w:rsid w:val="00540CFD"/>
    <w:rsid w:val="00542068"/>
    <w:rsid w:val="00543BCA"/>
    <w:rsid w:val="00545235"/>
    <w:rsid w:val="00547AA6"/>
    <w:rsid w:val="00550C4A"/>
    <w:rsid w:val="00551200"/>
    <w:rsid w:val="00552BE4"/>
    <w:rsid w:val="00554155"/>
    <w:rsid w:val="005547E4"/>
    <w:rsid w:val="00557E17"/>
    <w:rsid w:val="0056094C"/>
    <w:rsid w:val="00561BA6"/>
    <w:rsid w:val="00563201"/>
    <w:rsid w:val="0056327C"/>
    <w:rsid w:val="00564648"/>
    <w:rsid w:val="0056492E"/>
    <w:rsid w:val="00564FF6"/>
    <w:rsid w:val="005663BF"/>
    <w:rsid w:val="00567111"/>
    <w:rsid w:val="00570C6E"/>
    <w:rsid w:val="00572280"/>
    <w:rsid w:val="00572ED0"/>
    <w:rsid w:val="00574391"/>
    <w:rsid w:val="0057680B"/>
    <w:rsid w:val="00582F1E"/>
    <w:rsid w:val="00583D78"/>
    <w:rsid w:val="00591449"/>
    <w:rsid w:val="005923C2"/>
    <w:rsid w:val="00595A1D"/>
    <w:rsid w:val="005A0C61"/>
    <w:rsid w:val="005A183A"/>
    <w:rsid w:val="005A76A6"/>
    <w:rsid w:val="005B11C7"/>
    <w:rsid w:val="005B3771"/>
    <w:rsid w:val="005B3CDB"/>
    <w:rsid w:val="005B4346"/>
    <w:rsid w:val="005B6C42"/>
    <w:rsid w:val="005B79EF"/>
    <w:rsid w:val="005C2E6C"/>
    <w:rsid w:val="005C5C12"/>
    <w:rsid w:val="005D11EF"/>
    <w:rsid w:val="005D2EF2"/>
    <w:rsid w:val="005D36FD"/>
    <w:rsid w:val="005D4B1C"/>
    <w:rsid w:val="005D6853"/>
    <w:rsid w:val="005E18FA"/>
    <w:rsid w:val="005E1C18"/>
    <w:rsid w:val="005E37B9"/>
    <w:rsid w:val="005E42F7"/>
    <w:rsid w:val="005E503E"/>
    <w:rsid w:val="005E6CEA"/>
    <w:rsid w:val="005F03D8"/>
    <w:rsid w:val="005F26A6"/>
    <w:rsid w:val="005F5EC4"/>
    <w:rsid w:val="005F60E7"/>
    <w:rsid w:val="005F7EFF"/>
    <w:rsid w:val="00607C53"/>
    <w:rsid w:val="00610D92"/>
    <w:rsid w:val="00611CFA"/>
    <w:rsid w:val="00612200"/>
    <w:rsid w:val="00614BC8"/>
    <w:rsid w:val="006150FE"/>
    <w:rsid w:val="006155CA"/>
    <w:rsid w:val="00615B8D"/>
    <w:rsid w:val="00620A9A"/>
    <w:rsid w:val="0062563C"/>
    <w:rsid w:val="0063340F"/>
    <w:rsid w:val="006337AF"/>
    <w:rsid w:val="00644F44"/>
    <w:rsid w:val="006478B3"/>
    <w:rsid w:val="006517F1"/>
    <w:rsid w:val="006518E0"/>
    <w:rsid w:val="006524A7"/>
    <w:rsid w:val="0065251C"/>
    <w:rsid w:val="00652C36"/>
    <w:rsid w:val="0066117F"/>
    <w:rsid w:val="00661657"/>
    <w:rsid w:val="006621C2"/>
    <w:rsid w:val="00665014"/>
    <w:rsid w:val="0066716A"/>
    <w:rsid w:val="006702AE"/>
    <w:rsid w:val="0067426C"/>
    <w:rsid w:val="00674E5F"/>
    <w:rsid w:val="00675306"/>
    <w:rsid w:val="00675FF3"/>
    <w:rsid w:val="00680B00"/>
    <w:rsid w:val="0068155B"/>
    <w:rsid w:val="00682906"/>
    <w:rsid w:val="006845D3"/>
    <w:rsid w:val="00686B9A"/>
    <w:rsid w:val="00687814"/>
    <w:rsid w:val="00690635"/>
    <w:rsid w:val="006928F4"/>
    <w:rsid w:val="00695136"/>
    <w:rsid w:val="006951F8"/>
    <w:rsid w:val="00695B02"/>
    <w:rsid w:val="00697525"/>
    <w:rsid w:val="00697A98"/>
    <w:rsid w:val="006A0BB1"/>
    <w:rsid w:val="006A1B4C"/>
    <w:rsid w:val="006A3D63"/>
    <w:rsid w:val="006A7C5C"/>
    <w:rsid w:val="006B0195"/>
    <w:rsid w:val="006B25AC"/>
    <w:rsid w:val="006B4E52"/>
    <w:rsid w:val="006B5EF4"/>
    <w:rsid w:val="006C021D"/>
    <w:rsid w:val="006C4ED7"/>
    <w:rsid w:val="006C7DB5"/>
    <w:rsid w:val="006D11D0"/>
    <w:rsid w:val="006D5C49"/>
    <w:rsid w:val="006D5CA7"/>
    <w:rsid w:val="006D6D4C"/>
    <w:rsid w:val="006E0E99"/>
    <w:rsid w:val="006E30B5"/>
    <w:rsid w:val="006E3FB2"/>
    <w:rsid w:val="006E4C58"/>
    <w:rsid w:val="006E7B46"/>
    <w:rsid w:val="006F28E3"/>
    <w:rsid w:val="006F3DBC"/>
    <w:rsid w:val="006F3E28"/>
    <w:rsid w:val="006F3EE7"/>
    <w:rsid w:val="006F428F"/>
    <w:rsid w:val="006F4DF9"/>
    <w:rsid w:val="006F5CCE"/>
    <w:rsid w:val="007022DE"/>
    <w:rsid w:val="00702ED7"/>
    <w:rsid w:val="00702F81"/>
    <w:rsid w:val="00704C1A"/>
    <w:rsid w:val="00706909"/>
    <w:rsid w:val="007079CE"/>
    <w:rsid w:val="00713723"/>
    <w:rsid w:val="00713820"/>
    <w:rsid w:val="0071608C"/>
    <w:rsid w:val="0071626E"/>
    <w:rsid w:val="007173A9"/>
    <w:rsid w:val="00717D37"/>
    <w:rsid w:val="0072077A"/>
    <w:rsid w:val="007224EA"/>
    <w:rsid w:val="00723E99"/>
    <w:rsid w:val="00724592"/>
    <w:rsid w:val="00724D83"/>
    <w:rsid w:val="00727D65"/>
    <w:rsid w:val="007315D5"/>
    <w:rsid w:val="0073288C"/>
    <w:rsid w:val="00734A65"/>
    <w:rsid w:val="007361D8"/>
    <w:rsid w:val="00737B71"/>
    <w:rsid w:val="00743CC5"/>
    <w:rsid w:val="00744A6C"/>
    <w:rsid w:val="007455C8"/>
    <w:rsid w:val="00746561"/>
    <w:rsid w:val="00746A60"/>
    <w:rsid w:val="007471E9"/>
    <w:rsid w:val="00747FDA"/>
    <w:rsid w:val="00751E75"/>
    <w:rsid w:val="00756B85"/>
    <w:rsid w:val="007570F7"/>
    <w:rsid w:val="00757349"/>
    <w:rsid w:val="00761B3B"/>
    <w:rsid w:val="007621AA"/>
    <w:rsid w:val="00764A43"/>
    <w:rsid w:val="007650DE"/>
    <w:rsid w:val="00766704"/>
    <w:rsid w:val="00766774"/>
    <w:rsid w:val="0076778B"/>
    <w:rsid w:val="00770376"/>
    <w:rsid w:val="00771496"/>
    <w:rsid w:val="007739D5"/>
    <w:rsid w:val="00773B92"/>
    <w:rsid w:val="00780E2B"/>
    <w:rsid w:val="00783EF8"/>
    <w:rsid w:val="00783F79"/>
    <w:rsid w:val="00787896"/>
    <w:rsid w:val="00796E47"/>
    <w:rsid w:val="007A1DA3"/>
    <w:rsid w:val="007A33C2"/>
    <w:rsid w:val="007A3688"/>
    <w:rsid w:val="007A782A"/>
    <w:rsid w:val="007B137C"/>
    <w:rsid w:val="007B1905"/>
    <w:rsid w:val="007B1D63"/>
    <w:rsid w:val="007B2625"/>
    <w:rsid w:val="007B3106"/>
    <w:rsid w:val="007B318F"/>
    <w:rsid w:val="007B4101"/>
    <w:rsid w:val="007B4D21"/>
    <w:rsid w:val="007B4F3E"/>
    <w:rsid w:val="007C1DD2"/>
    <w:rsid w:val="007D1344"/>
    <w:rsid w:val="007E0C96"/>
    <w:rsid w:val="007E63EA"/>
    <w:rsid w:val="007F124F"/>
    <w:rsid w:val="007F376C"/>
    <w:rsid w:val="007F4206"/>
    <w:rsid w:val="007F44AC"/>
    <w:rsid w:val="007F53EF"/>
    <w:rsid w:val="007F75B0"/>
    <w:rsid w:val="007F7E68"/>
    <w:rsid w:val="00803BA7"/>
    <w:rsid w:val="00803F49"/>
    <w:rsid w:val="00806245"/>
    <w:rsid w:val="0080731A"/>
    <w:rsid w:val="00814C08"/>
    <w:rsid w:val="00815186"/>
    <w:rsid w:val="00817555"/>
    <w:rsid w:val="00820BEA"/>
    <w:rsid w:val="008229C2"/>
    <w:rsid w:val="00826885"/>
    <w:rsid w:val="008313E0"/>
    <w:rsid w:val="00831DDA"/>
    <w:rsid w:val="008320FB"/>
    <w:rsid w:val="00832377"/>
    <w:rsid w:val="00832D83"/>
    <w:rsid w:val="008343B3"/>
    <w:rsid w:val="0083591D"/>
    <w:rsid w:val="00840093"/>
    <w:rsid w:val="00840BC0"/>
    <w:rsid w:val="00842A2A"/>
    <w:rsid w:val="00844253"/>
    <w:rsid w:val="0084440E"/>
    <w:rsid w:val="00847423"/>
    <w:rsid w:val="0085178E"/>
    <w:rsid w:val="00852DDD"/>
    <w:rsid w:val="0085391B"/>
    <w:rsid w:val="0085403D"/>
    <w:rsid w:val="008545AE"/>
    <w:rsid w:val="0085475C"/>
    <w:rsid w:val="00861AD3"/>
    <w:rsid w:val="008624CA"/>
    <w:rsid w:val="00862DA8"/>
    <w:rsid w:val="008636C7"/>
    <w:rsid w:val="00863958"/>
    <w:rsid w:val="00866CA8"/>
    <w:rsid w:val="00867257"/>
    <w:rsid w:val="00867F72"/>
    <w:rsid w:val="00872A99"/>
    <w:rsid w:val="00873569"/>
    <w:rsid w:val="008742CE"/>
    <w:rsid w:val="00876661"/>
    <w:rsid w:val="00880F69"/>
    <w:rsid w:val="00885B4F"/>
    <w:rsid w:val="00892898"/>
    <w:rsid w:val="00892F96"/>
    <w:rsid w:val="00893C61"/>
    <w:rsid w:val="00895C3A"/>
    <w:rsid w:val="008A129F"/>
    <w:rsid w:val="008A23B7"/>
    <w:rsid w:val="008A2449"/>
    <w:rsid w:val="008A5272"/>
    <w:rsid w:val="008B2267"/>
    <w:rsid w:val="008B3066"/>
    <w:rsid w:val="008B3FD1"/>
    <w:rsid w:val="008B4DBD"/>
    <w:rsid w:val="008B560F"/>
    <w:rsid w:val="008B5EDD"/>
    <w:rsid w:val="008B7AFE"/>
    <w:rsid w:val="008C0CC7"/>
    <w:rsid w:val="008C1401"/>
    <w:rsid w:val="008C2744"/>
    <w:rsid w:val="008C4225"/>
    <w:rsid w:val="008C53CF"/>
    <w:rsid w:val="008C7D1E"/>
    <w:rsid w:val="008D1BBB"/>
    <w:rsid w:val="008D2AE4"/>
    <w:rsid w:val="008D2C49"/>
    <w:rsid w:val="008D31FF"/>
    <w:rsid w:val="008D7204"/>
    <w:rsid w:val="008E1033"/>
    <w:rsid w:val="008E296D"/>
    <w:rsid w:val="008E577F"/>
    <w:rsid w:val="008E59DC"/>
    <w:rsid w:val="008E6C33"/>
    <w:rsid w:val="008F042E"/>
    <w:rsid w:val="008F0C0D"/>
    <w:rsid w:val="008F236D"/>
    <w:rsid w:val="008F43F0"/>
    <w:rsid w:val="008F5DA3"/>
    <w:rsid w:val="00902485"/>
    <w:rsid w:val="00905D22"/>
    <w:rsid w:val="009063CE"/>
    <w:rsid w:val="0090732C"/>
    <w:rsid w:val="00910634"/>
    <w:rsid w:val="00911677"/>
    <w:rsid w:val="00912424"/>
    <w:rsid w:val="00914FD7"/>
    <w:rsid w:val="00916028"/>
    <w:rsid w:val="0091662E"/>
    <w:rsid w:val="00917B2A"/>
    <w:rsid w:val="009213C7"/>
    <w:rsid w:val="00922E6E"/>
    <w:rsid w:val="009230A5"/>
    <w:rsid w:val="009273C7"/>
    <w:rsid w:val="00927401"/>
    <w:rsid w:val="009276D1"/>
    <w:rsid w:val="00927B5C"/>
    <w:rsid w:val="00932E5C"/>
    <w:rsid w:val="00935B98"/>
    <w:rsid w:val="009378A7"/>
    <w:rsid w:val="00941B3A"/>
    <w:rsid w:val="00944002"/>
    <w:rsid w:val="00944D25"/>
    <w:rsid w:val="0094580A"/>
    <w:rsid w:val="0095002D"/>
    <w:rsid w:val="00950BD4"/>
    <w:rsid w:val="009518D0"/>
    <w:rsid w:val="00956FE0"/>
    <w:rsid w:val="009602AA"/>
    <w:rsid w:val="00962DB4"/>
    <w:rsid w:val="009630C8"/>
    <w:rsid w:val="009644BA"/>
    <w:rsid w:val="009723BE"/>
    <w:rsid w:val="009740EC"/>
    <w:rsid w:val="009803AA"/>
    <w:rsid w:val="0098070F"/>
    <w:rsid w:val="00985B29"/>
    <w:rsid w:val="0099077F"/>
    <w:rsid w:val="0099197B"/>
    <w:rsid w:val="00993DD6"/>
    <w:rsid w:val="00993F8F"/>
    <w:rsid w:val="00996E97"/>
    <w:rsid w:val="00997695"/>
    <w:rsid w:val="009A3F70"/>
    <w:rsid w:val="009A7C0C"/>
    <w:rsid w:val="009B12CF"/>
    <w:rsid w:val="009B45EC"/>
    <w:rsid w:val="009B5BD5"/>
    <w:rsid w:val="009B68AE"/>
    <w:rsid w:val="009B76EC"/>
    <w:rsid w:val="009C24A1"/>
    <w:rsid w:val="009C2BF5"/>
    <w:rsid w:val="009C3A0E"/>
    <w:rsid w:val="009C64E9"/>
    <w:rsid w:val="009C6F1E"/>
    <w:rsid w:val="009C70AC"/>
    <w:rsid w:val="009C7271"/>
    <w:rsid w:val="009D0ED2"/>
    <w:rsid w:val="009D58B0"/>
    <w:rsid w:val="009D5ADB"/>
    <w:rsid w:val="009D6CE2"/>
    <w:rsid w:val="009D72DC"/>
    <w:rsid w:val="009E21B9"/>
    <w:rsid w:val="009E23D1"/>
    <w:rsid w:val="009E33DB"/>
    <w:rsid w:val="009F0666"/>
    <w:rsid w:val="009F0FC5"/>
    <w:rsid w:val="009F181B"/>
    <w:rsid w:val="009F4523"/>
    <w:rsid w:val="009F59BF"/>
    <w:rsid w:val="009F6DAD"/>
    <w:rsid w:val="009F710E"/>
    <w:rsid w:val="00A02E09"/>
    <w:rsid w:val="00A039B5"/>
    <w:rsid w:val="00A0684A"/>
    <w:rsid w:val="00A10B4C"/>
    <w:rsid w:val="00A1175B"/>
    <w:rsid w:val="00A127CA"/>
    <w:rsid w:val="00A17DDB"/>
    <w:rsid w:val="00A20404"/>
    <w:rsid w:val="00A21C7E"/>
    <w:rsid w:val="00A2292C"/>
    <w:rsid w:val="00A2403D"/>
    <w:rsid w:val="00A246BD"/>
    <w:rsid w:val="00A3277A"/>
    <w:rsid w:val="00A3395C"/>
    <w:rsid w:val="00A36F65"/>
    <w:rsid w:val="00A41FE7"/>
    <w:rsid w:val="00A4211E"/>
    <w:rsid w:val="00A4351D"/>
    <w:rsid w:val="00A44C0D"/>
    <w:rsid w:val="00A504F4"/>
    <w:rsid w:val="00A50F8F"/>
    <w:rsid w:val="00A5228A"/>
    <w:rsid w:val="00A52A72"/>
    <w:rsid w:val="00A5462F"/>
    <w:rsid w:val="00A556E8"/>
    <w:rsid w:val="00A577A8"/>
    <w:rsid w:val="00A57CB8"/>
    <w:rsid w:val="00A60D1B"/>
    <w:rsid w:val="00A623B4"/>
    <w:rsid w:val="00A653C6"/>
    <w:rsid w:val="00A655EA"/>
    <w:rsid w:val="00A658D0"/>
    <w:rsid w:val="00A65A22"/>
    <w:rsid w:val="00A76BE0"/>
    <w:rsid w:val="00A82538"/>
    <w:rsid w:val="00A844CE"/>
    <w:rsid w:val="00A8668D"/>
    <w:rsid w:val="00A87BA0"/>
    <w:rsid w:val="00A961DD"/>
    <w:rsid w:val="00A9638A"/>
    <w:rsid w:val="00A979C1"/>
    <w:rsid w:val="00AA084A"/>
    <w:rsid w:val="00AA0D66"/>
    <w:rsid w:val="00AA3FCB"/>
    <w:rsid w:val="00AB3596"/>
    <w:rsid w:val="00AB431D"/>
    <w:rsid w:val="00AB643F"/>
    <w:rsid w:val="00AC1CB0"/>
    <w:rsid w:val="00AC4359"/>
    <w:rsid w:val="00AC7358"/>
    <w:rsid w:val="00AD130D"/>
    <w:rsid w:val="00AD1D31"/>
    <w:rsid w:val="00AD6ABB"/>
    <w:rsid w:val="00AE3016"/>
    <w:rsid w:val="00AE31D7"/>
    <w:rsid w:val="00AE367F"/>
    <w:rsid w:val="00AE4829"/>
    <w:rsid w:val="00AF52DB"/>
    <w:rsid w:val="00AF5F3A"/>
    <w:rsid w:val="00AF6183"/>
    <w:rsid w:val="00B01F19"/>
    <w:rsid w:val="00B0276D"/>
    <w:rsid w:val="00B0568E"/>
    <w:rsid w:val="00B05FC4"/>
    <w:rsid w:val="00B0679F"/>
    <w:rsid w:val="00B07248"/>
    <w:rsid w:val="00B12073"/>
    <w:rsid w:val="00B1653B"/>
    <w:rsid w:val="00B1799E"/>
    <w:rsid w:val="00B21986"/>
    <w:rsid w:val="00B23419"/>
    <w:rsid w:val="00B24968"/>
    <w:rsid w:val="00B25528"/>
    <w:rsid w:val="00B25FD8"/>
    <w:rsid w:val="00B3033A"/>
    <w:rsid w:val="00B3038F"/>
    <w:rsid w:val="00B307B4"/>
    <w:rsid w:val="00B33E07"/>
    <w:rsid w:val="00B34815"/>
    <w:rsid w:val="00B361E2"/>
    <w:rsid w:val="00B37E50"/>
    <w:rsid w:val="00B42C42"/>
    <w:rsid w:val="00B45733"/>
    <w:rsid w:val="00B467C0"/>
    <w:rsid w:val="00B477D3"/>
    <w:rsid w:val="00B56298"/>
    <w:rsid w:val="00B56CF2"/>
    <w:rsid w:val="00B57DBC"/>
    <w:rsid w:val="00B62F51"/>
    <w:rsid w:val="00B63F36"/>
    <w:rsid w:val="00B65216"/>
    <w:rsid w:val="00B65A04"/>
    <w:rsid w:val="00B6776C"/>
    <w:rsid w:val="00B72B4E"/>
    <w:rsid w:val="00B73F50"/>
    <w:rsid w:val="00B7799E"/>
    <w:rsid w:val="00B80AE3"/>
    <w:rsid w:val="00B82467"/>
    <w:rsid w:val="00B83C04"/>
    <w:rsid w:val="00B845D1"/>
    <w:rsid w:val="00B85F9D"/>
    <w:rsid w:val="00B93F1F"/>
    <w:rsid w:val="00BA0973"/>
    <w:rsid w:val="00BA09ED"/>
    <w:rsid w:val="00BA22D9"/>
    <w:rsid w:val="00BB150B"/>
    <w:rsid w:val="00BB412C"/>
    <w:rsid w:val="00BB5242"/>
    <w:rsid w:val="00BB61B8"/>
    <w:rsid w:val="00BB7448"/>
    <w:rsid w:val="00BB798F"/>
    <w:rsid w:val="00BC111C"/>
    <w:rsid w:val="00BC217D"/>
    <w:rsid w:val="00BC4185"/>
    <w:rsid w:val="00BC5868"/>
    <w:rsid w:val="00BC72DE"/>
    <w:rsid w:val="00BC74BF"/>
    <w:rsid w:val="00BC7D8D"/>
    <w:rsid w:val="00BD0302"/>
    <w:rsid w:val="00BD3894"/>
    <w:rsid w:val="00BD7164"/>
    <w:rsid w:val="00BD730A"/>
    <w:rsid w:val="00BD7A5F"/>
    <w:rsid w:val="00BE15FF"/>
    <w:rsid w:val="00BE39A9"/>
    <w:rsid w:val="00BE5676"/>
    <w:rsid w:val="00BE6D9B"/>
    <w:rsid w:val="00BE7E2D"/>
    <w:rsid w:val="00BF25AB"/>
    <w:rsid w:val="00BF5708"/>
    <w:rsid w:val="00BF646E"/>
    <w:rsid w:val="00C0375D"/>
    <w:rsid w:val="00C04971"/>
    <w:rsid w:val="00C04A44"/>
    <w:rsid w:val="00C04ECE"/>
    <w:rsid w:val="00C05736"/>
    <w:rsid w:val="00C14B07"/>
    <w:rsid w:val="00C156B2"/>
    <w:rsid w:val="00C16C66"/>
    <w:rsid w:val="00C21F1E"/>
    <w:rsid w:val="00C24A97"/>
    <w:rsid w:val="00C25CB1"/>
    <w:rsid w:val="00C26446"/>
    <w:rsid w:val="00C303BE"/>
    <w:rsid w:val="00C30826"/>
    <w:rsid w:val="00C31D6A"/>
    <w:rsid w:val="00C353B5"/>
    <w:rsid w:val="00C35934"/>
    <w:rsid w:val="00C41B9E"/>
    <w:rsid w:val="00C50184"/>
    <w:rsid w:val="00C52FEC"/>
    <w:rsid w:val="00C531B4"/>
    <w:rsid w:val="00C555BE"/>
    <w:rsid w:val="00C56760"/>
    <w:rsid w:val="00C63EC8"/>
    <w:rsid w:val="00C644AE"/>
    <w:rsid w:val="00C669C1"/>
    <w:rsid w:val="00C74180"/>
    <w:rsid w:val="00C7626A"/>
    <w:rsid w:val="00C85FB0"/>
    <w:rsid w:val="00C879EA"/>
    <w:rsid w:val="00C87A61"/>
    <w:rsid w:val="00C904B8"/>
    <w:rsid w:val="00C95F02"/>
    <w:rsid w:val="00C97F87"/>
    <w:rsid w:val="00CA00D7"/>
    <w:rsid w:val="00CA09F3"/>
    <w:rsid w:val="00CA13DF"/>
    <w:rsid w:val="00CA27B7"/>
    <w:rsid w:val="00CA3554"/>
    <w:rsid w:val="00CA48F3"/>
    <w:rsid w:val="00CB206B"/>
    <w:rsid w:val="00CB26AD"/>
    <w:rsid w:val="00CB28B3"/>
    <w:rsid w:val="00CB2FC4"/>
    <w:rsid w:val="00CB44D4"/>
    <w:rsid w:val="00CB58FC"/>
    <w:rsid w:val="00CC1B0C"/>
    <w:rsid w:val="00CC26F1"/>
    <w:rsid w:val="00CC36D9"/>
    <w:rsid w:val="00CC4D32"/>
    <w:rsid w:val="00CD0E2E"/>
    <w:rsid w:val="00CD1939"/>
    <w:rsid w:val="00CD4AEA"/>
    <w:rsid w:val="00CE0AD7"/>
    <w:rsid w:val="00CE2692"/>
    <w:rsid w:val="00CE327C"/>
    <w:rsid w:val="00CE3C22"/>
    <w:rsid w:val="00CE5738"/>
    <w:rsid w:val="00CF08CA"/>
    <w:rsid w:val="00CF0F81"/>
    <w:rsid w:val="00CF17B3"/>
    <w:rsid w:val="00CF5867"/>
    <w:rsid w:val="00D03BD1"/>
    <w:rsid w:val="00D04C62"/>
    <w:rsid w:val="00D05DCA"/>
    <w:rsid w:val="00D076AD"/>
    <w:rsid w:val="00D1145F"/>
    <w:rsid w:val="00D11671"/>
    <w:rsid w:val="00D12690"/>
    <w:rsid w:val="00D14EF3"/>
    <w:rsid w:val="00D16C17"/>
    <w:rsid w:val="00D222F2"/>
    <w:rsid w:val="00D25303"/>
    <w:rsid w:val="00D257F4"/>
    <w:rsid w:val="00D26528"/>
    <w:rsid w:val="00D26E32"/>
    <w:rsid w:val="00D31B9B"/>
    <w:rsid w:val="00D32B25"/>
    <w:rsid w:val="00D34DD7"/>
    <w:rsid w:val="00D3751D"/>
    <w:rsid w:val="00D37746"/>
    <w:rsid w:val="00D37BA8"/>
    <w:rsid w:val="00D40148"/>
    <w:rsid w:val="00D412A6"/>
    <w:rsid w:val="00D44F5E"/>
    <w:rsid w:val="00D45D65"/>
    <w:rsid w:val="00D46576"/>
    <w:rsid w:val="00D51293"/>
    <w:rsid w:val="00D51FDE"/>
    <w:rsid w:val="00D52B39"/>
    <w:rsid w:val="00D54134"/>
    <w:rsid w:val="00D54291"/>
    <w:rsid w:val="00D61CEB"/>
    <w:rsid w:val="00D62C17"/>
    <w:rsid w:val="00D64805"/>
    <w:rsid w:val="00D65731"/>
    <w:rsid w:val="00D71920"/>
    <w:rsid w:val="00D81AA1"/>
    <w:rsid w:val="00D83B15"/>
    <w:rsid w:val="00D84F68"/>
    <w:rsid w:val="00D85501"/>
    <w:rsid w:val="00D91C88"/>
    <w:rsid w:val="00D921FF"/>
    <w:rsid w:val="00DA0837"/>
    <w:rsid w:val="00DA15AE"/>
    <w:rsid w:val="00DA3056"/>
    <w:rsid w:val="00DA407E"/>
    <w:rsid w:val="00DA7374"/>
    <w:rsid w:val="00DB0FAA"/>
    <w:rsid w:val="00DB2A7A"/>
    <w:rsid w:val="00DB4060"/>
    <w:rsid w:val="00DB47BB"/>
    <w:rsid w:val="00DB4E53"/>
    <w:rsid w:val="00DC0D1F"/>
    <w:rsid w:val="00DC1B16"/>
    <w:rsid w:val="00DC22CE"/>
    <w:rsid w:val="00DC3144"/>
    <w:rsid w:val="00DD24F1"/>
    <w:rsid w:val="00DD3BF0"/>
    <w:rsid w:val="00DD55D7"/>
    <w:rsid w:val="00DD5CFC"/>
    <w:rsid w:val="00DE04FB"/>
    <w:rsid w:val="00DE0B79"/>
    <w:rsid w:val="00DE5681"/>
    <w:rsid w:val="00DE6744"/>
    <w:rsid w:val="00DF09EB"/>
    <w:rsid w:val="00DF0E23"/>
    <w:rsid w:val="00DF2167"/>
    <w:rsid w:val="00DF23A8"/>
    <w:rsid w:val="00DF3AED"/>
    <w:rsid w:val="00DF3EFF"/>
    <w:rsid w:val="00DF56DE"/>
    <w:rsid w:val="00DF7AE4"/>
    <w:rsid w:val="00E019C8"/>
    <w:rsid w:val="00E01C70"/>
    <w:rsid w:val="00E039D6"/>
    <w:rsid w:val="00E0511A"/>
    <w:rsid w:val="00E052AF"/>
    <w:rsid w:val="00E06B3B"/>
    <w:rsid w:val="00E13E16"/>
    <w:rsid w:val="00E147EB"/>
    <w:rsid w:val="00E154FA"/>
    <w:rsid w:val="00E16FEE"/>
    <w:rsid w:val="00E17EA0"/>
    <w:rsid w:val="00E20B3D"/>
    <w:rsid w:val="00E227D4"/>
    <w:rsid w:val="00E22D11"/>
    <w:rsid w:val="00E22E4A"/>
    <w:rsid w:val="00E2320F"/>
    <w:rsid w:val="00E24E7A"/>
    <w:rsid w:val="00E26086"/>
    <w:rsid w:val="00E26978"/>
    <w:rsid w:val="00E32A3A"/>
    <w:rsid w:val="00E330A7"/>
    <w:rsid w:val="00E3315E"/>
    <w:rsid w:val="00E33BD9"/>
    <w:rsid w:val="00E345EE"/>
    <w:rsid w:val="00E40262"/>
    <w:rsid w:val="00E43BEF"/>
    <w:rsid w:val="00E43E9D"/>
    <w:rsid w:val="00E45A13"/>
    <w:rsid w:val="00E462DE"/>
    <w:rsid w:val="00E46FE1"/>
    <w:rsid w:val="00E55EE0"/>
    <w:rsid w:val="00E627F2"/>
    <w:rsid w:val="00E62AE7"/>
    <w:rsid w:val="00E62D65"/>
    <w:rsid w:val="00E6373F"/>
    <w:rsid w:val="00E65B16"/>
    <w:rsid w:val="00E65E4D"/>
    <w:rsid w:val="00E705F5"/>
    <w:rsid w:val="00E71831"/>
    <w:rsid w:val="00E71D1B"/>
    <w:rsid w:val="00E72E0D"/>
    <w:rsid w:val="00E743AC"/>
    <w:rsid w:val="00E74B83"/>
    <w:rsid w:val="00E7527D"/>
    <w:rsid w:val="00E75284"/>
    <w:rsid w:val="00E7714E"/>
    <w:rsid w:val="00E7759A"/>
    <w:rsid w:val="00E80010"/>
    <w:rsid w:val="00E808C0"/>
    <w:rsid w:val="00E81AD5"/>
    <w:rsid w:val="00E836B9"/>
    <w:rsid w:val="00E86CCD"/>
    <w:rsid w:val="00E926A4"/>
    <w:rsid w:val="00E9449E"/>
    <w:rsid w:val="00E94A8D"/>
    <w:rsid w:val="00EA09FF"/>
    <w:rsid w:val="00EA1A23"/>
    <w:rsid w:val="00EA5F73"/>
    <w:rsid w:val="00EA6BE1"/>
    <w:rsid w:val="00EB507B"/>
    <w:rsid w:val="00EB52C2"/>
    <w:rsid w:val="00EC0C2E"/>
    <w:rsid w:val="00EC29CD"/>
    <w:rsid w:val="00EC3CA0"/>
    <w:rsid w:val="00ED0897"/>
    <w:rsid w:val="00ED1B51"/>
    <w:rsid w:val="00ED380F"/>
    <w:rsid w:val="00ED399A"/>
    <w:rsid w:val="00ED5565"/>
    <w:rsid w:val="00EE1635"/>
    <w:rsid w:val="00EE1B8C"/>
    <w:rsid w:val="00EE2AA0"/>
    <w:rsid w:val="00EE51CB"/>
    <w:rsid w:val="00EF1109"/>
    <w:rsid w:val="00EF59EA"/>
    <w:rsid w:val="00EF7D71"/>
    <w:rsid w:val="00F00A9D"/>
    <w:rsid w:val="00F01D07"/>
    <w:rsid w:val="00F06AD8"/>
    <w:rsid w:val="00F07F85"/>
    <w:rsid w:val="00F12272"/>
    <w:rsid w:val="00F123B7"/>
    <w:rsid w:val="00F128D7"/>
    <w:rsid w:val="00F129D4"/>
    <w:rsid w:val="00F163F1"/>
    <w:rsid w:val="00F20784"/>
    <w:rsid w:val="00F23869"/>
    <w:rsid w:val="00F244D2"/>
    <w:rsid w:val="00F252C9"/>
    <w:rsid w:val="00F26D84"/>
    <w:rsid w:val="00F2757E"/>
    <w:rsid w:val="00F2771B"/>
    <w:rsid w:val="00F30C0B"/>
    <w:rsid w:val="00F31A22"/>
    <w:rsid w:val="00F32502"/>
    <w:rsid w:val="00F32BB4"/>
    <w:rsid w:val="00F32EF1"/>
    <w:rsid w:val="00F35953"/>
    <w:rsid w:val="00F41484"/>
    <w:rsid w:val="00F41FCF"/>
    <w:rsid w:val="00F431BA"/>
    <w:rsid w:val="00F44DD9"/>
    <w:rsid w:val="00F51374"/>
    <w:rsid w:val="00F53EB4"/>
    <w:rsid w:val="00F554C9"/>
    <w:rsid w:val="00F56E3C"/>
    <w:rsid w:val="00F6352A"/>
    <w:rsid w:val="00F643E0"/>
    <w:rsid w:val="00F65536"/>
    <w:rsid w:val="00F663C0"/>
    <w:rsid w:val="00F70158"/>
    <w:rsid w:val="00F71386"/>
    <w:rsid w:val="00F7282B"/>
    <w:rsid w:val="00F72BC2"/>
    <w:rsid w:val="00F73515"/>
    <w:rsid w:val="00F75145"/>
    <w:rsid w:val="00F803A5"/>
    <w:rsid w:val="00F80615"/>
    <w:rsid w:val="00F815A8"/>
    <w:rsid w:val="00F81DA7"/>
    <w:rsid w:val="00F82BAE"/>
    <w:rsid w:val="00F83EDF"/>
    <w:rsid w:val="00F8637E"/>
    <w:rsid w:val="00F91235"/>
    <w:rsid w:val="00F92082"/>
    <w:rsid w:val="00F920D3"/>
    <w:rsid w:val="00F94B1E"/>
    <w:rsid w:val="00F95337"/>
    <w:rsid w:val="00F959DA"/>
    <w:rsid w:val="00FA2FEF"/>
    <w:rsid w:val="00FB1A23"/>
    <w:rsid w:val="00FC1F93"/>
    <w:rsid w:val="00FC75B4"/>
    <w:rsid w:val="00FD3855"/>
    <w:rsid w:val="00FD3BE4"/>
    <w:rsid w:val="00FD686C"/>
    <w:rsid w:val="00FE0386"/>
    <w:rsid w:val="00FE0A3D"/>
    <w:rsid w:val="00FE23EB"/>
    <w:rsid w:val="00FE28B3"/>
    <w:rsid w:val="00FF0314"/>
    <w:rsid w:val="00FF0414"/>
    <w:rsid w:val="00FF208E"/>
    <w:rsid w:val="00FF22B5"/>
    <w:rsid w:val="00FF309D"/>
    <w:rsid w:val="00FF5312"/>
    <w:rsid w:val="00F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E1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9613">
      <w:bodyDiv w:val="1"/>
      <w:marLeft w:val="0"/>
      <w:marRight w:val="0"/>
      <w:marTop w:val="0"/>
      <w:marBottom w:val="0"/>
      <w:divBdr>
        <w:top w:val="none" w:sz="0" w:space="0" w:color="auto"/>
        <w:left w:val="none" w:sz="0" w:space="0" w:color="auto"/>
        <w:bottom w:val="none" w:sz="0" w:space="0" w:color="auto"/>
        <w:right w:val="none" w:sz="0" w:space="0" w:color="auto"/>
      </w:divBdr>
    </w:div>
    <w:div w:id="733049645">
      <w:bodyDiv w:val="1"/>
      <w:marLeft w:val="0"/>
      <w:marRight w:val="0"/>
      <w:marTop w:val="0"/>
      <w:marBottom w:val="0"/>
      <w:divBdr>
        <w:top w:val="none" w:sz="0" w:space="0" w:color="auto"/>
        <w:left w:val="none" w:sz="0" w:space="0" w:color="auto"/>
        <w:bottom w:val="none" w:sz="0" w:space="0" w:color="auto"/>
        <w:right w:val="none" w:sz="0" w:space="0" w:color="auto"/>
      </w:divBdr>
    </w:div>
    <w:div w:id="1461997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olicy_x0020_or_x0020_Procedure xmlns="1c64f3ea-64b2-4ba4-83e2-f0639d8ebc0b">
      <Value>Policy</Value>
    </Policy_x0020_or_x0020_Procedure>
    <Document_x0020_Type xmlns="0e17a363-e013-437b-9a95-505d1cd007fa">IFRS</Document_x0020_Type>
    <Region xmlns="1c64f3ea-64b2-4ba4-83e2-f0639d8ebc0b">General</Reg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0039e61b7535e8ba0d4d22cbcc56088c">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af284e46e46d7d38b129448ba8845c82"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057C4-6A18-4376-8AB4-D5E53FF4E8A8}">
  <ds:schemaRefs>
    <ds:schemaRef ds:uri="http://schemas.microsoft.com/sharepoint/v3/contenttype/forms"/>
  </ds:schemaRefs>
</ds:datastoreItem>
</file>

<file path=customXml/itemProps2.xml><?xml version="1.0" encoding="utf-8"?>
<ds:datastoreItem xmlns:ds="http://schemas.openxmlformats.org/officeDocument/2006/customXml" ds:itemID="{057E1FD5-C0B6-4E7B-BC61-2522F09F919F}">
  <ds:schemaRefs>
    <ds:schemaRef ds:uri="http://purl.org/dc/dcmitype/"/>
    <ds:schemaRef ds:uri="http://purl.org/dc/elements/1.1/"/>
    <ds:schemaRef ds:uri="http://schemas.microsoft.com/office/2006/documentManagement/types"/>
    <ds:schemaRef ds:uri="1c64f3ea-64b2-4ba4-83e2-f0639d8ebc0b"/>
    <ds:schemaRef ds:uri="0e17a363-e013-437b-9a95-505d1cd007fa"/>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6bbfadf9-d801-40f2-a897-3bb0ed128290"/>
    <ds:schemaRef ds:uri="328597d9-4282-4247-a4e8-f559f7eb4505"/>
    <ds:schemaRef ds:uri="http://purl.org/dc/terms/"/>
  </ds:schemaRefs>
</ds:datastoreItem>
</file>

<file path=customXml/itemProps3.xml><?xml version="1.0" encoding="utf-8"?>
<ds:datastoreItem xmlns:ds="http://schemas.openxmlformats.org/officeDocument/2006/customXml" ds:itemID="{12D12F7F-E9AC-4B7C-99DF-B69DF870D4D9}"/>
</file>

<file path=customXml/itemProps4.xml><?xml version="1.0" encoding="utf-8"?>
<ds:datastoreItem xmlns:ds="http://schemas.openxmlformats.org/officeDocument/2006/customXml" ds:itemID="{5430C80C-B0F8-4B31-AE7D-C2E3C371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434</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IFRS-Accounting Manual.doc</vt:lpstr>
    </vt:vector>
  </TitlesOfParts>
  <Company>Samsonite</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IFRS-Accounting Manual.doc</dc:title>
  <dc:creator>image008</dc:creator>
  <cp:lastModifiedBy>Jeff Brown</cp:lastModifiedBy>
  <cp:revision>9</cp:revision>
  <cp:lastPrinted>2010-11-05T16:59:00Z</cp:lastPrinted>
  <dcterms:created xsi:type="dcterms:W3CDTF">2014-01-09T16:52:00Z</dcterms:created>
  <dcterms:modified xsi:type="dcterms:W3CDTF">2018-12-17T20:03:00Z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y fmtid="{D5CDD505-2E9C-101B-9397-08002B2CF9AE}" pid="3" name="Document Approval Status">
    <vt:lpwstr>Initial Approval</vt:lpwstr>
  </property>
</Properties>
</file>