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A1F68" w14:textId="77777777" w:rsidR="006F606E" w:rsidRDefault="006F606E" w:rsidP="007A782A">
      <w:pPr>
        <w:pStyle w:val="Head1"/>
      </w:pPr>
      <w:r>
        <w:t>7</w:t>
      </w:r>
      <w:r>
        <w:tab/>
        <w:t>Inventories</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00" w:firstRow="0" w:lastRow="0" w:firstColumn="0" w:lastColumn="0" w:noHBand="0" w:noVBand="0"/>
      </w:tblPr>
      <w:tblGrid>
        <w:gridCol w:w="738"/>
        <w:gridCol w:w="8622"/>
      </w:tblGrid>
      <w:tr w:rsidR="006F606E" w14:paraId="651A1F71" w14:textId="77777777" w:rsidTr="009C3A0E">
        <w:trPr>
          <w:cantSplit/>
          <w:trHeight w:val="1831"/>
        </w:trPr>
        <w:tc>
          <w:tcPr>
            <w:tcW w:w="738" w:type="dxa"/>
            <w:shd w:val="clear" w:color="auto" w:fill="DBE5F1"/>
            <w:textDirection w:val="btLr"/>
            <w:vAlign w:val="center"/>
          </w:tcPr>
          <w:p w14:paraId="651A1F69" w14:textId="77777777" w:rsidR="006F606E" w:rsidRDefault="006F606E" w:rsidP="009C3A0E">
            <w:pPr>
              <w:widowControl w:val="0"/>
              <w:autoSpaceDE w:val="0"/>
              <w:autoSpaceDN w:val="0"/>
              <w:adjustRightInd w:val="0"/>
              <w:spacing w:after="0" w:line="240" w:lineRule="auto"/>
              <w:ind w:left="113" w:right="113"/>
              <w:jc w:val="center"/>
              <w:rPr>
                <w:b/>
                <w:bCs/>
                <w:color w:val="000080"/>
                <w:sz w:val="26"/>
                <w:szCs w:val="26"/>
              </w:rPr>
            </w:pPr>
            <w:r>
              <w:rPr>
                <w:b/>
                <w:bCs/>
                <w:color w:val="000080"/>
                <w:sz w:val="26"/>
                <w:szCs w:val="26"/>
              </w:rPr>
              <w:t>OVERVIEW</w:t>
            </w:r>
          </w:p>
        </w:tc>
        <w:tc>
          <w:tcPr>
            <w:tcW w:w="8622" w:type="dxa"/>
            <w:shd w:val="clear" w:color="auto" w:fill="DBE5F1"/>
          </w:tcPr>
          <w:p w14:paraId="651A1F6A" w14:textId="77777777" w:rsidR="006F606E" w:rsidRDefault="006F606E" w:rsidP="009C3A0E">
            <w:pPr>
              <w:pStyle w:val="Tablebullet1"/>
            </w:pPr>
            <w:r>
              <w:t>Costs of all raw materials and consumables are recognized at their costs of purchase.</w:t>
            </w:r>
          </w:p>
          <w:p w14:paraId="651A1F6B" w14:textId="77777777" w:rsidR="006F606E" w:rsidRDefault="006F606E" w:rsidP="009C3A0E">
            <w:pPr>
              <w:pStyle w:val="Tablebullet1"/>
            </w:pPr>
            <w:r>
              <w:t>Work in progress and finished goods include the cost of purchasing the raw materials used in the production of the modular units as well as the cost of production.</w:t>
            </w:r>
          </w:p>
          <w:p w14:paraId="651A1F6C" w14:textId="31D7587B" w:rsidR="006F606E" w:rsidRDefault="00B10C10" w:rsidP="009C3A0E">
            <w:pPr>
              <w:pStyle w:val="Tablebullet1"/>
            </w:pPr>
            <w:r>
              <w:t xml:space="preserve">The Group </w:t>
            </w:r>
            <w:r w:rsidR="006F606E">
              <w:t xml:space="preserve">recognizes expense for reporting purposes using the weighted average (purchased goods) and First In, First out (FIFO) (manufactured goods) methods. </w:t>
            </w:r>
          </w:p>
          <w:p w14:paraId="651A1F6D" w14:textId="77777777" w:rsidR="006F606E" w:rsidRDefault="006F606E" w:rsidP="009C3A0E">
            <w:pPr>
              <w:pStyle w:val="Tablebullet1"/>
            </w:pPr>
            <w:r>
              <w:t>Inventories are measured at the lower of cost and net realizable value.</w:t>
            </w:r>
          </w:p>
          <w:p w14:paraId="651A1F6E" w14:textId="77777777" w:rsidR="006F606E" w:rsidRDefault="006F606E" w:rsidP="009C3A0E">
            <w:pPr>
              <w:pStyle w:val="Tablebullet1"/>
            </w:pPr>
            <w:r>
              <w:t>Inventory must be written down to net realizable value when net realizable value is less than cost.</w:t>
            </w:r>
          </w:p>
          <w:p w14:paraId="651A1F6F" w14:textId="77777777" w:rsidR="006F606E" w:rsidRDefault="006F606E" w:rsidP="009C3A0E">
            <w:pPr>
              <w:pStyle w:val="Tablebullet1"/>
            </w:pPr>
            <w:r>
              <w:t>The amount of any loss related to the write</w:t>
            </w:r>
            <w:r>
              <w:noBreakHyphen/>
              <w:t>down of inventories should be recognized as an expense in the period the write</w:t>
            </w:r>
            <w:r>
              <w:noBreakHyphen/>
              <w:t>down occurs.</w:t>
            </w:r>
          </w:p>
          <w:p w14:paraId="651A1F70" w14:textId="77777777" w:rsidR="006F606E" w:rsidRDefault="006F606E" w:rsidP="009C3A0E">
            <w:pPr>
              <w:pStyle w:val="Tablebullet1"/>
              <w:rPr>
                <w:color w:val="000000"/>
              </w:rPr>
            </w:pPr>
            <w:r>
              <w:t>The reversal of a write down for inventory is limited to the amount of the original write</w:t>
            </w:r>
            <w:r>
              <w:noBreakHyphen/>
              <w:t>down. The new carrying amount is the lower of the cost and the revised net realizable value.</w:t>
            </w:r>
          </w:p>
        </w:tc>
      </w:tr>
    </w:tbl>
    <w:p w14:paraId="651A1F72" w14:textId="77777777" w:rsidR="006F606E" w:rsidRDefault="006F606E" w:rsidP="007A782A">
      <w:pPr>
        <w:pStyle w:val="Text1"/>
      </w:pPr>
    </w:p>
    <w:p w14:paraId="651A1F73" w14:textId="77777777" w:rsidR="006F606E" w:rsidRDefault="006F606E" w:rsidP="007A782A">
      <w:pPr>
        <w:pStyle w:val="Head1"/>
      </w:pPr>
      <w:r>
        <w:t>7.1</w:t>
      </w:r>
      <w:r>
        <w:tab/>
        <w:t>Purpose and scope</w:t>
      </w:r>
    </w:p>
    <w:p w14:paraId="651A1F74" w14:textId="14109E30" w:rsidR="006F606E" w:rsidRDefault="006F606E" w:rsidP="007A782A">
      <w:pPr>
        <w:pStyle w:val="Text1"/>
      </w:pPr>
      <w:r>
        <w:t xml:space="preserve">This policy provides guidance and rules on accounting for </w:t>
      </w:r>
      <w:r>
        <w:rPr>
          <w:b/>
          <w:bCs/>
        </w:rPr>
        <w:t>Inventory</w:t>
      </w:r>
      <w:r>
        <w:t xml:space="preserve"> for the purpose of preparing the financial statements </w:t>
      </w:r>
      <w:r w:rsidR="00825665">
        <w:t>of the</w:t>
      </w:r>
      <w:r w:rsidR="00B10C10">
        <w:t xml:space="preserve"> Group </w:t>
      </w:r>
      <w:r>
        <w:t>according to International Financial Reporting Standards.</w:t>
      </w:r>
    </w:p>
    <w:p w14:paraId="651A1F75" w14:textId="77777777" w:rsidR="006F606E" w:rsidRDefault="006F606E" w:rsidP="007A782A">
      <w:pPr>
        <w:pStyle w:val="Head1"/>
      </w:pPr>
      <w:r>
        <w:t>7.2</w:t>
      </w:r>
      <w:r>
        <w:tab/>
        <w:t>Definition</w:t>
      </w:r>
    </w:p>
    <w:p w14:paraId="651A1F76" w14:textId="77777777" w:rsidR="006F606E" w:rsidRDefault="006F606E" w:rsidP="007A782A">
      <w:pPr>
        <w:pStyle w:val="Text1kwn"/>
        <w:spacing w:after="0"/>
      </w:pPr>
      <w:r w:rsidRPr="00D34DD7">
        <w:t xml:space="preserve">Inventories </w:t>
      </w:r>
      <w:r>
        <w:t>are assets:</w:t>
      </w:r>
    </w:p>
    <w:p w14:paraId="651A1F77" w14:textId="77777777" w:rsidR="006F606E" w:rsidRDefault="006F606E" w:rsidP="007A782A">
      <w:pPr>
        <w:pStyle w:val="RoundBullet"/>
        <w:spacing w:after="0"/>
        <w:jc w:val="both"/>
      </w:pPr>
      <w:r>
        <w:t>held for sale in the ordinary course of business,</w:t>
      </w:r>
    </w:p>
    <w:p w14:paraId="651A1F78" w14:textId="77777777" w:rsidR="006F606E" w:rsidRDefault="006F606E" w:rsidP="007A782A">
      <w:pPr>
        <w:pStyle w:val="RoundBullet"/>
        <w:spacing w:after="0"/>
        <w:jc w:val="both"/>
      </w:pPr>
      <w:r>
        <w:t>in the process of production for such sale,</w:t>
      </w:r>
    </w:p>
    <w:p w14:paraId="651A1F79" w14:textId="77777777" w:rsidR="006F606E" w:rsidRDefault="006F606E" w:rsidP="007A782A">
      <w:pPr>
        <w:pStyle w:val="RoundBulletLast"/>
      </w:pPr>
      <w:r>
        <w:t>in the form of materials or supplies to be consumed in the production process or in the rendering of services.</w:t>
      </w:r>
    </w:p>
    <w:p w14:paraId="651A1F7A" w14:textId="5DB64352" w:rsidR="006F606E" w:rsidRDefault="00B10C10" w:rsidP="007A782A">
      <w:pPr>
        <w:pStyle w:val="Text1kwn"/>
        <w:spacing w:after="0"/>
      </w:pPr>
      <w:r>
        <w:t xml:space="preserve">The Group </w:t>
      </w:r>
      <w:r w:rsidR="006F606E">
        <w:t>has the following categories of inventories:</w:t>
      </w:r>
    </w:p>
    <w:p w14:paraId="651A1F7B" w14:textId="77777777" w:rsidR="006F606E" w:rsidRDefault="006F606E" w:rsidP="007A782A">
      <w:pPr>
        <w:pStyle w:val="RoundBullet"/>
        <w:spacing w:after="0"/>
        <w:jc w:val="both"/>
      </w:pPr>
      <w:r>
        <w:t xml:space="preserve">Raw materials </w:t>
      </w:r>
    </w:p>
    <w:p w14:paraId="651A1F7C" w14:textId="77777777" w:rsidR="006F606E" w:rsidRDefault="006F606E" w:rsidP="007A782A">
      <w:pPr>
        <w:pStyle w:val="RoundBullet"/>
        <w:spacing w:after="0"/>
        <w:jc w:val="both"/>
      </w:pPr>
      <w:r>
        <w:t>Work in progress</w:t>
      </w:r>
    </w:p>
    <w:p w14:paraId="651A1F7D" w14:textId="77777777" w:rsidR="006F606E" w:rsidRDefault="006F606E" w:rsidP="007A782A">
      <w:pPr>
        <w:pStyle w:val="RoundBullet"/>
        <w:spacing w:after="0"/>
        <w:jc w:val="both"/>
      </w:pPr>
      <w:r>
        <w:t>Finished goods</w:t>
      </w:r>
    </w:p>
    <w:p w14:paraId="651A1F7E" w14:textId="77777777" w:rsidR="006F606E" w:rsidRDefault="006F606E" w:rsidP="007A782A">
      <w:pPr>
        <w:pStyle w:val="RoundBullet"/>
        <w:numPr>
          <w:ilvl w:val="0"/>
          <w:numId w:val="0"/>
        </w:numPr>
        <w:spacing w:after="0"/>
        <w:jc w:val="both"/>
      </w:pPr>
    </w:p>
    <w:p w14:paraId="651A1F7F" w14:textId="77777777" w:rsidR="006F606E" w:rsidRDefault="006F606E" w:rsidP="007A782A">
      <w:pPr>
        <w:pStyle w:val="Head1"/>
      </w:pPr>
      <w:r>
        <w:lastRenderedPageBreak/>
        <w:t>7.3</w:t>
      </w:r>
      <w:r>
        <w:tab/>
        <w:t>Recognition and measurement of inventories</w:t>
      </w:r>
    </w:p>
    <w:p w14:paraId="651A1F80" w14:textId="77777777" w:rsidR="006F606E" w:rsidRDefault="006F606E" w:rsidP="007A782A">
      <w:pPr>
        <w:pStyle w:val="Text1"/>
      </w:pPr>
      <w:r>
        <w:t>Inventories are recognized at cost including all costs of purchase, costs of production and other costs incurred in bringing the inventories to their present location and condition, depending on the type of inventories.</w:t>
      </w:r>
    </w:p>
    <w:p w14:paraId="651A1F81" w14:textId="77777777" w:rsidR="006F606E" w:rsidRDefault="006F606E" w:rsidP="007A782A">
      <w:pPr>
        <w:pStyle w:val="Text1kwn"/>
      </w:pPr>
      <w:r>
        <w:t>Costs by category of inventory:</w:t>
      </w:r>
    </w:p>
    <w:p w14:paraId="651A1F82" w14:textId="77777777" w:rsidR="006F606E" w:rsidRDefault="006F606E" w:rsidP="007A782A">
      <w:pPr>
        <w:pStyle w:val="RoundBullet"/>
      </w:pPr>
      <w:r>
        <w:t>Raw materials = cost of purchase</w:t>
      </w:r>
    </w:p>
    <w:p w14:paraId="651A1F83" w14:textId="77777777" w:rsidR="006F606E" w:rsidRDefault="006F606E" w:rsidP="007A782A">
      <w:pPr>
        <w:pStyle w:val="RoundBullet"/>
      </w:pPr>
      <w:r>
        <w:t>Work in progress = cost of purchase + cost of production</w:t>
      </w:r>
    </w:p>
    <w:p w14:paraId="651A1F84" w14:textId="77777777" w:rsidR="006F606E" w:rsidRDefault="006F606E" w:rsidP="007A782A">
      <w:pPr>
        <w:pStyle w:val="RoundBulletLast"/>
      </w:pPr>
      <w:r>
        <w:t>Finished goods = cost of purchase + cost of production</w:t>
      </w:r>
    </w:p>
    <w:p w14:paraId="651A1F86" w14:textId="77777777" w:rsidR="006F606E" w:rsidRDefault="006F606E" w:rsidP="007A782A">
      <w:pPr>
        <w:pStyle w:val="Head1"/>
      </w:pPr>
      <w:r>
        <w:t>Costs of purchase</w:t>
      </w:r>
    </w:p>
    <w:p w14:paraId="651A1F87" w14:textId="34417C94" w:rsidR="006F606E" w:rsidRDefault="006F606E" w:rsidP="007A782A">
      <w:pPr>
        <w:pStyle w:val="Text1"/>
      </w:pPr>
      <w:r>
        <w:t xml:space="preserve">Costs of all raw materials are recognized at their costs of purchase. The cost of purchase comprises of the purchase price, import duties and other taxes (other than those subsequently recoverable by </w:t>
      </w:r>
      <w:r w:rsidR="00B10C10">
        <w:t xml:space="preserve">the Group </w:t>
      </w:r>
      <w:r>
        <w:t xml:space="preserve">from the taxing authorities), transport, handling, and other costs directly attributable to the acquisition of goods and materials. </w:t>
      </w:r>
    </w:p>
    <w:p w14:paraId="651A1F88" w14:textId="77777777" w:rsidR="006F606E" w:rsidRDefault="006F606E" w:rsidP="007A782A">
      <w:pPr>
        <w:pStyle w:val="Text1"/>
      </w:pPr>
      <w:r>
        <w:t>Trade discounts, rebates and other similar items are deducted in determining the costs of purchase.</w:t>
      </w:r>
    </w:p>
    <w:p w14:paraId="651A1F8A" w14:textId="77777777" w:rsidR="006F606E" w:rsidRDefault="006F606E" w:rsidP="007A782A">
      <w:pPr>
        <w:pStyle w:val="Head1"/>
      </w:pPr>
      <w:r>
        <w:t>Costs of production</w:t>
      </w:r>
    </w:p>
    <w:p w14:paraId="651A1F8B" w14:textId="77777777" w:rsidR="006F606E" w:rsidRDefault="006F606E" w:rsidP="007A782A">
      <w:pPr>
        <w:pStyle w:val="Text1"/>
      </w:pPr>
      <w:r>
        <w:t>Work in progress and finished goods include the cost of purchasing the raw materials used in the production. Costs of production are the costs incurred to convert materials and supplies to finished units.</w:t>
      </w:r>
    </w:p>
    <w:p w14:paraId="651A1F8C" w14:textId="77777777" w:rsidR="006F606E" w:rsidRDefault="006F606E" w:rsidP="007A782A">
      <w:pPr>
        <w:pStyle w:val="Text1"/>
      </w:pPr>
      <w:r>
        <w:t>The costs of production include costs directly related to the units of production.  They also include an appropriate share of production overheads (fixed and variable) incurred in converting the materials into finished goods.</w:t>
      </w:r>
    </w:p>
    <w:p w14:paraId="651A1F8D" w14:textId="77777777" w:rsidR="006F606E" w:rsidRDefault="006F606E" w:rsidP="007A782A">
      <w:pPr>
        <w:pStyle w:val="Text1kwn"/>
      </w:pPr>
      <w:r>
        <w:t>The following costs are excluded from the costs of inventories and are recognized as an expense in the period in which they are incurred:</w:t>
      </w:r>
    </w:p>
    <w:p w14:paraId="651A1F8E" w14:textId="77777777" w:rsidR="006F606E" w:rsidRDefault="006F606E" w:rsidP="007A782A">
      <w:pPr>
        <w:pStyle w:val="DashBullet"/>
      </w:pPr>
      <w:r>
        <w:noBreakHyphen/>
      </w:r>
      <w:r>
        <w:tab/>
        <w:t>abnormal amounts of wasted materials, labor or other production costs,</w:t>
      </w:r>
    </w:p>
    <w:p w14:paraId="651A1F8F" w14:textId="77777777" w:rsidR="006F606E" w:rsidRDefault="006F606E" w:rsidP="007A782A">
      <w:pPr>
        <w:pStyle w:val="DashBullet"/>
      </w:pPr>
      <w:r>
        <w:noBreakHyphen/>
      </w:r>
      <w:r>
        <w:tab/>
        <w:t>administrative overheads that do not contribute to bringing inventories to their present location and condition,</w:t>
      </w:r>
    </w:p>
    <w:p w14:paraId="651A1F90" w14:textId="77777777" w:rsidR="006F606E" w:rsidRDefault="006F606E" w:rsidP="007A782A">
      <w:pPr>
        <w:pStyle w:val="DashBulletLast"/>
      </w:pPr>
      <w:r>
        <w:noBreakHyphen/>
      </w:r>
      <w:r>
        <w:tab/>
        <w:t>selling costs (such as commissions and advertising costs).</w:t>
      </w:r>
    </w:p>
    <w:p w14:paraId="69DAF03A" w14:textId="77777777" w:rsidR="009445B5" w:rsidRDefault="009445B5">
      <w:pPr>
        <w:spacing w:after="0" w:line="240" w:lineRule="auto"/>
        <w:rPr>
          <w:b/>
          <w:bCs/>
          <w:color w:val="000000"/>
          <w:sz w:val="24"/>
          <w:szCs w:val="24"/>
        </w:rPr>
      </w:pPr>
      <w:r>
        <w:rPr>
          <w:b/>
          <w:bCs/>
          <w:sz w:val="24"/>
          <w:szCs w:val="24"/>
        </w:rPr>
        <w:br w:type="page"/>
      </w:r>
    </w:p>
    <w:p w14:paraId="651A1F91" w14:textId="34DEFE9F" w:rsidR="006F606E" w:rsidRDefault="006F606E" w:rsidP="007A782A">
      <w:pPr>
        <w:pStyle w:val="DashBulletLast"/>
        <w:tabs>
          <w:tab w:val="clear" w:pos="720"/>
          <w:tab w:val="left" w:pos="0"/>
        </w:tabs>
        <w:ind w:left="0" w:firstLine="0"/>
        <w:rPr>
          <w:b/>
          <w:bCs/>
          <w:sz w:val="24"/>
          <w:szCs w:val="24"/>
        </w:rPr>
      </w:pPr>
      <w:r w:rsidRPr="00D34DD7">
        <w:rPr>
          <w:b/>
          <w:bCs/>
          <w:sz w:val="24"/>
          <w:szCs w:val="24"/>
        </w:rPr>
        <w:lastRenderedPageBreak/>
        <w:t>Other Costs</w:t>
      </w:r>
    </w:p>
    <w:p w14:paraId="651A1F92" w14:textId="531E5ABE" w:rsidR="006F606E" w:rsidRDefault="006F606E" w:rsidP="007A782A">
      <w:pPr>
        <w:pStyle w:val="DashBulletLast"/>
        <w:ind w:left="0" w:firstLine="0"/>
        <w:rPr>
          <w:sz w:val="24"/>
          <w:szCs w:val="24"/>
        </w:rPr>
      </w:pPr>
      <w:r>
        <w:rPr>
          <w:sz w:val="24"/>
          <w:szCs w:val="24"/>
        </w:rPr>
        <w:t xml:space="preserve">Distribution costs and costs of transporting inventory to customers generally are recognized as an expense as incurred.  However, if such costs relate to goods in transit, then they would be deferred and recognized.  </w:t>
      </w:r>
      <w:r w:rsidR="009445B5">
        <w:rPr>
          <w:sz w:val="24"/>
          <w:szCs w:val="24"/>
        </w:rPr>
        <w:t>In addition</w:t>
      </w:r>
      <w:r>
        <w:rPr>
          <w:sz w:val="24"/>
          <w:szCs w:val="24"/>
        </w:rPr>
        <w:t>, transport and</w:t>
      </w:r>
      <w:r w:rsidR="00825665">
        <w:rPr>
          <w:sz w:val="24"/>
          <w:szCs w:val="24"/>
        </w:rPr>
        <w:t>/or</w:t>
      </w:r>
      <w:r>
        <w:rPr>
          <w:sz w:val="24"/>
          <w:szCs w:val="24"/>
        </w:rPr>
        <w:t xml:space="preserve"> distribution costs </w:t>
      </w:r>
      <w:r w:rsidR="00825665">
        <w:rPr>
          <w:sz w:val="24"/>
          <w:szCs w:val="24"/>
        </w:rPr>
        <w:t>which</w:t>
      </w:r>
      <w:r>
        <w:rPr>
          <w:sz w:val="24"/>
          <w:szCs w:val="24"/>
        </w:rPr>
        <w:t xml:space="preserve"> are necessary to get inventory in a present location or condition for sale form part of the costs of inventory.  Examples of this include freight costs incurred to bring inventory from the warehouse to retail locations, between warehouses and from warehouse to a consignment location.  Similarly, packing costs incurred to prepare inventory for sale are part of the cost of inventory.  Examples of this include nesting and de</w:t>
      </w:r>
      <w:r w:rsidR="00825665">
        <w:rPr>
          <w:sz w:val="24"/>
          <w:szCs w:val="24"/>
        </w:rPr>
        <w:t>-</w:t>
      </w:r>
      <w:r>
        <w:rPr>
          <w:sz w:val="24"/>
          <w:szCs w:val="24"/>
        </w:rPr>
        <w:t>nesting inventory prior to sale.</w:t>
      </w:r>
    </w:p>
    <w:p w14:paraId="651A1F93" w14:textId="77777777" w:rsidR="006F606E" w:rsidRPr="00F120F9" w:rsidRDefault="006F606E" w:rsidP="007A782A">
      <w:pPr>
        <w:pStyle w:val="DashBulletLast"/>
        <w:ind w:left="0" w:firstLine="0"/>
        <w:rPr>
          <w:i/>
          <w:sz w:val="24"/>
          <w:szCs w:val="24"/>
        </w:rPr>
      </w:pPr>
      <w:r w:rsidRPr="00F120F9">
        <w:rPr>
          <w:i/>
          <w:sz w:val="24"/>
          <w:szCs w:val="24"/>
        </w:rPr>
        <w:t>Cost formulas</w:t>
      </w:r>
    </w:p>
    <w:p w14:paraId="651A1F94" w14:textId="4F5500CC" w:rsidR="006F606E" w:rsidRDefault="006F606E" w:rsidP="007A782A">
      <w:pPr>
        <w:pStyle w:val="DashBulletLast"/>
        <w:ind w:left="0" w:firstLine="0"/>
        <w:rPr>
          <w:b/>
          <w:bCs/>
        </w:rPr>
      </w:pPr>
      <w:r>
        <w:rPr>
          <w:sz w:val="24"/>
          <w:szCs w:val="24"/>
        </w:rPr>
        <w:t xml:space="preserve">The cost formula used for purchased goods is weighted average costs and FIFO is used for manufactured goods.  The same cost formula is applied to all inventories with a similar nature and use even if they are held by different </w:t>
      </w:r>
      <w:r w:rsidR="00B10C10">
        <w:rPr>
          <w:sz w:val="24"/>
          <w:szCs w:val="24"/>
        </w:rPr>
        <w:t>members of the group</w:t>
      </w:r>
      <w:r>
        <w:rPr>
          <w:sz w:val="24"/>
          <w:szCs w:val="24"/>
        </w:rPr>
        <w:t>. Due to system constraints if a location is required to utilize FIFO for purchased goods, this is allowed assuming the cost closely approximates the cost if weighted average was applied.</w:t>
      </w:r>
    </w:p>
    <w:p w14:paraId="651A1F95" w14:textId="77777777" w:rsidR="006F606E" w:rsidRDefault="006F606E" w:rsidP="007A782A">
      <w:pPr>
        <w:pStyle w:val="Head1"/>
      </w:pPr>
      <w:r>
        <w:t>7.4</w:t>
      </w:r>
      <w:r>
        <w:tab/>
        <w:t>Inventories measurement and recognition</w:t>
      </w:r>
    </w:p>
    <w:p w14:paraId="651A1F96" w14:textId="0B0C7372" w:rsidR="006F606E" w:rsidRDefault="006F606E" w:rsidP="007A782A">
      <w:pPr>
        <w:pStyle w:val="Text1"/>
      </w:pPr>
      <w:r>
        <w:t xml:space="preserve">The end product of the manufacturing process for </w:t>
      </w:r>
      <w:r w:rsidR="00B10C10">
        <w:t>the Group</w:t>
      </w:r>
      <w:r>
        <w:t xml:space="preserve"> is the production of units that will either be sold to wholesale or retail customers.</w:t>
      </w:r>
    </w:p>
    <w:p w14:paraId="651A1F97" w14:textId="77777777" w:rsidR="006F606E" w:rsidRDefault="006F606E" w:rsidP="007A782A">
      <w:pPr>
        <w:pStyle w:val="Head1"/>
      </w:pPr>
      <w:r>
        <w:t>Measurement</w:t>
      </w:r>
    </w:p>
    <w:p w14:paraId="651A1F98" w14:textId="77B58E03" w:rsidR="006F606E" w:rsidRDefault="00B10C10" w:rsidP="007A782A">
      <w:pPr>
        <w:pStyle w:val="Text1"/>
      </w:pPr>
      <w:r>
        <w:t>The Group</w:t>
      </w:r>
      <w:r w:rsidR="006F606E">
        <w:t xml:space="preserve"> values inventories at the lower of cost, using the weighted average/FIFO method, or net realizable value.</w:t>
      </w:r>
    </w:p>
    <w:p w14:paraId="651A1F99" w14:textId="77777777" w:rsidR="006F606E" w:rsidRDefault="006F606E" w:rsidP="007A782A">
      <w:pPr>
        <w:pStyle w:val="Head1"/>
      </w:pPr>
      <w:r>
        <w:t>Recognition</w:t>
      </w:r>
    </w:p>
    <w:p w14:paraId="651A1F9A" w14:textId="77777777" w:rsidR="006F606E" w:rsidRDefault="006F606E" w:rsidP="007A782A">
      <w:pPr>
        <w:pStyle w:val="Text1"/>
      </w:pPr>
      <w:r>
        <w:t>When there are outflows of units (sale, destructions), the carrying amount of those units should be recognized as expenses in the period in which the related revenue is recognized.</w:t>
      </w:r>
    </w:p>
    <w:p w14:paraId="651A1F9B" w14:textId="68D983B2" w:rsidR="006F606E" w:rsidRDefault="00B10C10" w:rsidP="007A782A">
      <w:pPr>
        <w:pStyle w:val="Text1"/>
      </w:pPr>
      <w:r>
        <w:t>Certain s</w:t>
      </w:r>
      <w:r w:rsidR="006F606E">
        <w:t>amples are provided from the supplier at no cost.  Other samples provided to Sales Representatives are expensed as selling costs when allocated to a Sales Representative.  Samples used in retail locations or at Luggage fairs are maintained in inventory.  Upon return, they are identified as 2</w:t>
      </w:r>
      <w:r w:rsidR="006F606E" w:rsidRPr="00A556E8">
        <w:rPr>
          <w:vertAlign w:val="superscript"/>
        </w:rPr>
        <w:t>nd</w:t>
      </w:r>
      <w:r w:rsidR="006F606E">
        <w:t xml:space="preserve"> or 3</w:t>
      </w:r>
      <w:r w:rsidR="006F606E" w:rsidRPr="00A556E8">
        <w:rPr>
          <w:vertAlign w:val="superscript"/>
        </w:rPr>
        <w:t>rd</w:t>
      </w:r>
      <w:r w:rsidR="006F606E">
        <w:t xml:space="preserve"> choice and</w:t>
      </w:r>
      <w:r>
        <w:t xml:space="preserve"> may be</w:t>
      </w:r>
      <w:r w:rsidR="006F606E">
        <w:t xml:space="preserve"> sold through </w:t>
      </w:r>
      <w:r>
        <w:t>The Group’s</w:t>
      </w:r>
      <w:r w:rsidR="006F606E">
        <w:t xml:space="preserve"> outlets.</w:t>
      </w:r>
    </w:p>
    <w:p w14:paraId="651A1F9C" w14:textId="77777777" w:rsidR="006F606E" w:rsidRDefault="006F606E" w:rsidP="007A782A">
      <w:pPr>
        <w:pStyle w:val="Head1"/>
      </w:pPr>
      <w:r>
        <w:lastRenderedPageBreak/>
        <w:t>7.5</w:t>
      </w:r>
      <w:r>
        <w:tab/>
        <w:t>Inventory valuation at a closing date</w:t>
      </w:r>
    </w:p>
    <w:p w14:paraId="651A1F9D" w14:textId="77777777" w:rsidR="006F606E" w:rsidRDefault="006F606E" w:rsidP="007A782A">
      <w:pPr>
        <w:pStyle w:val="Head1"/>
      </w:pPr>
      <w:r>
        <w:t>7.5.1</w:t>
      </w:r>
      <w:r>
        <w:tab/>
        <w:t>Definitions</w:t>
      </w:r>
    </w:p>
    <w:p w14:paraId="651A1F9E" w14:textId="7B9E35DA" w:rsidR="006F606E" w:rsidRDefault="006F606E" w:rsidP="007A782A">
      <w:pPr>
        <w:pStyle w:val="Text1"/>
      </w:pPr>
      <w:r>
        <w:t xml:space="preserve">Inventories should be measured at each </w:t>
      </w:r>
      <w:r w:rsidR="00B10C10">
        <w:t>reporting</w:t>
      </w:r>
      <w:r>
        <w:t xml:space="preserve"> date at the lower of </w:t>
      </w:r>
      <w:r>
        <w:rPr>
          <w:u w:val="single"/>
        </w:rPr>
        <w:t>cost</w:t>
      </w:r>
      <w:r>
        <w:t xml:space="preserve"> (refer to Recognition and measurement of inventories) and </w:t>
      </w:r>
      <w:r>
        <w:rPr>
          <w:u w:val="single"/>
        </w:rPr>
        <w:t>net realizable value</w:t>
      </w:r>
      <w:r>
        <w:t>.</w:t>
      </w:r>
    </w:p>
    <w:p w14:paraId="651A1F9F" w14:textId="50F976EE" w:rsidR="006F606E" w:rsidRDefault="006F606E" w:rsidP="007A782A">
      <w:pPr>
        <w:pStyle w:val="Text1"/>
      </w:pPr>
      <w:r>
        <w:rPr>
          <w:b/>
          <w:bCs/>
        </w:rPr>
        <w:t xml:space="preserve">Net </w:t>
      </w:r>
      <w:r w:rsidR="009445B5">
        <w:rPr>
          <w:b/>
          <w:bCs/>
        </w:rPr>
        <w:t>R</w:t>
      </w:r>
      <w:r>
        <w:rPr>
          <w:b/>
          <w:bCs/>
        </w:rPr>
        <w:t xml:space="preserve">ealizable </w:t>
      </w:r>
      <w:r w:rsidR="009445B5">
        <w:rPr>
          <w:b/>
          <w:bCs/>
        </w:rPr>
        <w:t>V</w:t>
      </w:r>
      <w:r>
        <w:rPr>
          <w:b/>
          <w:bCs/>
        </w:rPr>
        <w:t>alue</w:t>
      </w:r>
      <w:r>
        <w:t xml:space="preserve"> is the estimated selling price in the ordinary course of business less the estimated cost of completion and the estimated costs necessary to perform the sale. It refers to the net amount that </w:t>
      </w:r>
      <w:r w:rsidR="00B10C10">
        <w:t xml:space="preserve">the Group </w:t>
      </w:r>
      <w:r>
        <w:t>expects to realize from the sale of inventories in the ordinary course of business.</w:t>
      </w:r>
    </w:p>
    <w:p w14:paraId="651A1FA0" w14:textId="2F2A9676" w:rsidR="006F606E" w:rsidRDefault="006F606E" w:rsidP="007A782A">
      <w:pPr>
        <w:pStyle w:val="Text1"/>
      </w:pPr>
      <w:r>
        <w:t xml:space="preserve">A new assessment of </w:t>
      </w:r>
      <w:r w:rsidR="009445B5">
        <w:t>N</w:t>
      </w:r>
      <w:r>
        <w:t xml:space="preserve">et </w:t>
      </w:r>
      <w:r w:rsidR="009445B5">
        <w:t>R</w:t>
      </w:r>
      <w:r>
        <w:t xml:space="preserve">ealizable </w:t>
      </w:r>
      <w:r w:rsidR="009445B5">
        <w:t>V</w:t>
      </w:r>
      <w:r>
        <w:t>alue is made in each subsequent period.</w:t>
      </w:r>
    </w:p>
    <w:p w14:paraId="651A1FA1" w14:textId="77777777" w:rsidR="006F606E" w:rsidRDefault="006F606E" w:rsidP="007A782A">
      <w:pPr>
        <w:pStyle w:val="Head1"/>
      </w:pPr>
      <w:r>
        <w:t>7.5.2</w:t>
      </w:r>
      <w:r>
        <w:tab/>
        <w:t>Write</w:t>
      </w:r>
      <w:r>
        <w:noBreakHyphen/>
        <w:t>down of inventories</w:t>
      </w:r>
    </w:p>
    <w:p w14:paraId="651A1FA2" w14:textId="77777777" w:rsidR="006F606E" w:rsidRDefault="006F606E" w:rsidP="007A782A">
      <w:pPr>
        <w:pStyle w:val="Text1kwn"/>
        <w:spacing w:after="0"/>
      </w:pPr>
      <w:r>
        <w:t>The cost of inventories may not be recoverable if:</w:t>
      </w:r>
    </w:p>
    <w:p w14:paraId="651A1FA3" w14:textId="77777777" w:rsidR="006F606E" w:rsidRDefault="006F606E" w:rsidP="007A782A">
      <w:pPr>
        <w:pStyle w:val="RoundBullet"/>
        <w:tabs>
          <w:tab w:val="clear" w:pos="360"/>
          <w:tab w:val="left" w:pos="1080"/>
        </w:tabs>
        <w:spacing w:after="0"/>
        <w:ind w:left="1080"/>
        <w:jc w:val="both"/>
      </w:pPr>
      <w:r>
        <w:t>those inventories are damaged,</w:t>
      </w:r>
    </w:p>
    <w:p w14:paraId="651A1FA4" w14:textId="77777777" w:rsidR="006F606E" w:rsidRDefault="006F606E" w:rsidP="007A782A">
      <w:pPr>
        <w:pStyle w:val="RoundBullet"/>
        <w:tabs>
          <w:tab w:val="clear" w:pos="360"/>
          <w:tab w:val="left" w:pos="1080"/>
        </w:tabs>
        <w:spacing w:after="0"/>
        <w:ind w:left="1080"/>
        <w:jc w:val="both"/>
      </w:pPr>
      <w:r>
        <w:t>or if they have become wholly or partially obsolete,</w:t>
      </w:r>
    </w:p>
    <w:p w14:paraId="651A1FA5" w14:textId="77777777" w:rsidR="006F606E" w:rsidRDefault="006F606E" w:rsidP="007A782A">
      <w:pPr>
        <w:pStyle w:val="RoundBullet"/>
        <w:tabs>
          <w:tab w:val="clear" w:pos="360"/>
          <w:tab w:val="left" w:pos="1080"/>
        </w:tabs>
        <w:spacing w:after="0"/>
        <w:ind w:left="1080"/>
        <w:jc w:val="both"/>
      </w:pPr>
      <w:r>
        <w:t>or if their selling prices have declined,</w:t>
      </w:r>
    </w:p>
    <w:p w14:paraId="651A1FA6" w14:textId="77777777" w:rsidR="006F606E" w:rsidRDefault="006F606E" w:rsidP="007A782A">
      <w:pPr>
        <w:pStyle w:val="RoundBulletLast"/>
        <w:tabs>
          <w:tab w:val="clear" w:pos="360"/>
          <w:tab w:val="left" w:pos="1080"/>
        </w:tabs>
        <w:ind w:left="1080"/>
      </w:pPr>
      <w:r>
        <w:t>or the estimated costs to be incurred to make the sale have increased.</w:t>
      </w:r>
    </w:p>
    <w:p w14:paraId="651A1FA7" w14:textId="77777777" w:rsidR="006F606E" w:rsidRDefault="006F606E" w:rsidP="007A782A">
      <w:pPr>
        <w:pStyle w:val="Text1"/>
      </w:pPr>
      <w:r>
        <w:t xml:space="preserve">Inventory reserves are established and reviewed at each reporting period.  </w:t>
      </w:r>
    </w:p>
    <w:p w14:paraId="651A1FA8" w14:textId="77777777" w:rsidR="006F606E" w:rsidRDefault="006F606E" w:rsidP="007A782A">
      <w:pPr>
        <w:pStyle w:val="Text1"/>
      </w:pPr>
      <w:r>
        <w:t xml:space="preserve">The amount of any loss related to the write-down of inventories should be recognized as an expense in the period the write-down occurs. </w:t>
      </w:r>
    </w:p>
    <w:p w14:paraId="651A1FA9" w14:textId="286562B4" w:rsidR="006F606E" w:rsidRDefault="006F606E" w:rsidP="007A782A">
      <w:pPr>
        <w:pStyle w:val="Text1"/>
      </w:pPr>
      <w:r>
        <w:t xml:space="preserve">When a decrease in Net Realizable Value (decrease of estimated selling price or increase of estimated costs) leads to an impairment of inventories, this impairment should be accounted </w:t>
      </w:r>
      <w:r w:rsidR="00B10C10">
        <w:t>as</w:t>
      </w:r>
      <w:r>
        <w:t xml:space="preserve"> “Cost of sales” in the income statement.</w:t>
      </w:r>
    </w:p>
    <w:p w14:paraId="651A1FAA" w14:textId="77777777" w:rsidR="006F606E" w:rsidRDefault="006F606E" w:rsidP="007A782A">
      <w:pPr>
        <w:pStyle w:val="Text1"/>
      </w:pPr>
      <w:r>
        <w:t>However, it should be noted that raw materials held for use in the production of inventories should not be written down below cost if the units in which they will be incorporated are expected to be sold at or above cost.</w:t>
      </w:r>
    </w:p>
    <w:p w14:paraId="651A1FAB" w14:textId="77777777" w:rsidR="006F606E" w:rsidRDefault="006F606E" w:rsidP="007A782A">
      <w:pPr>
        <w:pStyle w:val="Head1"/>
      </w:pPr>
      <w:r>
        <w:t>7.5.3</w:t>
      </w:r>
      <w:r>
        <w:tab/>
        <w:t>Reversal of write</w:t>
      </w:r>
      <w:r>
        <w:noBreakHyphen/>
        <w:t>down</w:t>
      </w:r>
    </w:p>
    <w:p w14:paraId="651A1FAC" w14:textId="77777777" w:rsidR="006F606E" w:rsidRDefault="006F606E" w:rsidP="007A782A">
      <w:pPr>
        <w:pStyle w:val="Text1kwn"/>
      </w:pPr>
      <w:r>
        <w:t>The amount of the write</w:t>
      </w:r>
      <w:r>
        <w:noBreakHyphen/>
        <w:t>down shall be reversed:</w:t>
      </w:r>
    </w:p>
    <w:p w14:paraId="651A1FAD" w14:textId="77777777" w:rsidR="006F606E" w:rsidRDefault="006F606E" w:rsidP="007A782A">
      <w:pPr>
        <w:pStyle w:val="DashBullet"/>
      </w:pPr>
      <w:r>
        <w:noBreakHyphen/>
      </w:r>
      <w:r>
        <w:tab/>
        <w:t>when the circumstances that previously caused inventories to be written down below cost no longer exist,</w:t>
      </w:r>
    </w:p>
    <w:p w14:paraId="651A1FAE" w14:textId="5C75E197" w:rsidR="006F606E" w:rsidRDefault="006F606E" w:rsidP="007A782A">
      <w:pPr>
        <w:pStyle w:val="DashBulletLast"/>
      </w:pPr>
      <w:r>
        <w:noBreakHyphen/>
      </w:r>
      <w:r>
        <w:tab/>
      </w:r>
      <w:proofErr w:type="gramStart"/>
      <w:r>
        <w:t>or</w:t>
      </w:r>
      <w:proofErr w:type="gramEnd"/>
      <w:r>
        <w:t xml:space="preserve"> when there is clear evidence of an increase in </w:t>
      </w:r>
      <w:r w:rsidR="009445B5">
        <w:t>N</w:t>
      </w:r>
      <w:r>
        <w:t xml:space="preserve">et </w:t>
      </w:r>
      <w:r w:rsidR="009445B5">
        <w:t>R</w:t>
      </w:r>
      <w:r>
        <w:t xml:space="preserve">ealizable </w:t>
      </w:r>
      <w:r w:rsidR="009445B5">
        <w:t>V</w:t>
      </w:r>
      <w:r>
        <w:t>alue because of changed economic circumstances.</w:t>
      </w:r>
    </w:p>
    <w:p w14:paraId="651A1FAF" w14:textId="1E8B0A35" w:rsidR="006F606E" w:rsidRDefault="006F606E" w:rsidP="007A782A">
      <w:pPr>
        <w:pStyle w:val="Text1"/>
      </w:pPr>
      <w:r>
        <w:lastRenderedPageBreak/>
        <w:t>The reversal is limited to the amount of the original write</w:t>
      </w:r>
      <w:r>
        <w:noBreakHyphen/>
        <w:t xml:space="preserve">down and, the new carrying amount is the lower of the cost and the revised </w:t>
      </w:r>
      <w:r w:rsidR="009445B5">
        <w:t>N</w:t>
      </w:r>
      <w:r>
        <w:t xml:space="preserve">et </w:t>
      </w:r>
      <w:r w:rsidR="009445B5">
        <w:t>R</w:t>
      </w:r>
      <w:r>
        <w:t xml:space="preserve">ealizable </w:t>
      </w:r>
      <w:r w:rsidR="009445B5">
        <w:t>V</w:t>
      </w:r>
      <w:r>
        <w:t>alue.</w:t>
      </w:r>
    </w:p>
    <w:p w14:paraId="651A1FB0" w14:textId="5B1A2AC5" w:rsidR="006F606E" w:rsidRDefault="006F606E" w:rsidP="007A782A">
      <w:pPr>
        <w:pStyle w:val="Text1"/>
      </w:pPr>
      <w:r>
        <w:t>When an increase in Net Realizable Value (increase of estimated selling price or decrease of estimated costs) leads to a reversal of the related write</w:t>
      </w:r>
      <w:r>
        <w:noBreakHyphen/>
        <w:t xml:space="preserve">down, this reversal should be accounted for </w:t>
      </w:r>
      <w:r w:rsidR="00B10C10">
        <w:t>as</w:t>
      </w:r>
      <w:r>
        <w:t xml:space="preserve"> “Cost of sales” (where the change in inventories is already recognized) in the income statement. The amount of any reversal of any write</w:t>
      </w:r>
      <w:r>
        <w:noBreakHyphen/>
        <w:t xml:space="preserve">down of inventories, arising from an increase in </w:t>
      </w:r>
      <w:r w:rsidR="009445B5">
        <w:t>N</w:t>
      </w:r>
      <w:r>
        <w:t xml:space="preserve">et </w:t>
      </w:r>
      <w:r w:rsidR="009445B5">
        <w:t>R</w:t>
      </w:r>
      <w:r>
        <w:t xml:space="preserve">ealizable </w:t>
      </w:r>
      <w:r w:rsidR="009445B5">
        <w:t>V</w:t>
      </w:r>
      <w:r>
        <w:t>alue, should be recognized as a reduction in the amount of inventories recognized as an expense in the period in which the reversal occurs.</w:t>
      </w:r>
    </w:p>
    <w:p w14:paraId="651A1FB1" w14:textId="77777777" w:rsidR="006F606E" w:rsidRDefault="006F606E" w:rsidP="007A782A">
      <w:pPr>
        <w:pStyle w:val="Head1"/>
      </w:pPr>
      <w:r>
        <w:t>7.6</w:t>
      </w:r>
      <w:r>
        <w:tab/>
        <w:t>Inventory count</w:t>
      </w:r>
    </w:p>
    <w:p w14:paraId="651A1FB2" w14:textId="2186D39E" w:rsidR="006F606E" w:rsidRDefault="00B10C10" w:rsidP="007A782A">
      <w:pPr>
        <w:pStyle w:val="Text1kwn"/>
      </w:pPr>
      <w:r>
        <w:t xml:space="preserve">The Group </w:t>
      </w:r>
      <w:r w:rsidR="006F606E">
        <w:t xml:space="preserve">performs full physical inventory counts annually.  </w:t>
      </w:r>
      <w:r w:rsidR="00BA33E4">
        <w:t xml:space="preserve">In some instances, cycle </w:t>
      </w:r>
      <w:r w:rsidR="006F606E">
        <w:t>counts are performed throughout the year as needed.  Inventory balances are adjusted to reflect the results of the physical or cycle counts.</w:t>
      </w:r>
    </w:p>
    <w:p w14:paraId="651A1FB3" w14:textId="77777777" w:rsidR="006F606E" w:rsidRDefault="006F606E" w:rsidP="007A782A">
      <w:pPr>
        <w:rPr>
          <w:b/>
          <w:bCs/>
          <w:color w:val="000080"/>
          <w:sz w:val="24"/>
          <w:szCs w:val="24"/>
        </w:rPr>
      </w:pPr>
      <w:r>
        <w:rPr>
          <w:b/>
          <w:bCs/>
          <w:color w:val="000080"/>
          <w:sz w:val="24"/>
          <w:szCs w:val="24"/>
        </w:rPr>
        <w:t>7.7</w:t>
      </w:r>
      <w:r>
        <w:rPr>
          <w:b/>
          <w:bCs/>
          <w:color w:val="000080"/>
          <w:sz w:val="24"/>
          <w:szCs w:val="24"/>
        </w:rPr>
        <w:tab/>
        <w:t>Disclosure</w:t>
      </w:r>
    </w:p>
    <w:p w14:paraId="651A1FB4" w14:textId="77777777" w:rsidR="006F606E" w:rsidRDefault="006F606E" w:rsidP="007A782A">
      <w:pPr>
        <w:pStyle w:val="Head1"/>
      </w:pPr>
      <w:r>
        <w:t>Footnote</w:t>
      </w:r>
    </w:p>
    <w:p w14:paraId="651A1FB5" w14:textId="6AD11C62" w:rsidR="006F606E" w:rsidRDefault="00B10C10" w:rsidP="007A782A">
      <w:pPr>
        <w:pStyle w:val="Text1kwn"/>
      </w:pPr>
      <w:r>
        <w:t>The Group</w:t>
      </w:r>
      <w:r w:rsidR="00B342E1">
        <w:t xml:space="preserve"> </w:t>
      </w:r>
      <w:r w:rsidR="006F606E">
        <w:t>has developed forms to assist with the completion of the financial statement footnote disclosures.</w:t>
      </w:r>
    </w:p>
    <w:tbl>
      <w:tblPr>
        <w:tblW w:w="4950" w:type="pct"/>
        <w:tblInd w:w="-106" w:type="dxa"/>
        <w:tblLook w:val="0000" w:firstRow="0" w:lastRow="0" w:firstColumn="0" w:lastColumn="0" w:noHBand="0" w:noVBand="0"/>
      </w:tblPr>
      <w:tblGrid>
        <w:gridCol w:w="5978"/>
        <w:gridCol w:w="269"/>
        <w:gridCol w:w="1446"/>
        <w:gridCol w:w="297"/>
        <w:gridCol w:w="1276"/>
      </w:tblGrid>
      <w:tr w:rsidR="006F606E" w14:paraId="651A1FB9" w14:textId="77777777" w:rsidTr="009C3A0E">
        <w:trPr>
          <w:trHeight w:val="300"/>
        </w:trPr>
        <w:tc>
          <w:tcPr>
            <w:tcW w:w="5978" w:type="dxa"/>
            <w:tcBorders>
              <w:top w:val="nil"/>
              <w:left w:val="nil"/>
              <w:bottom w:val="nil"/>
              <w:right w:val="nil"/>
            </w:tcBorders>
            <w:noWrap/>
            <w:vAlign w:val="bottom"/>
          </w:tcPr>
          <w:p w14:paraId="651A1FB6" w14:textId="77777777" w:rsidR="006F606E" w:rsidRDefault="006F606E" w:rsidP="009C3A0E">
            <w:pPr>
              <w:spacing w:after="0" w:line="240" w:lineRule="auto"/>
              <w:rPr>
                <w:color w:val="000000"/>
              </w:rPr>
            </w:pPr>
          </w:p>
        </w:tc>
        <w:tc>
          <w:tcPr>
            <w:tcW w:w="269" w:type="dxa"/>
            <w:tcBorders>
              <w:top w:val="nil"/>
              <w:left w:val="nil"/>
              <w:bottom w:val="nil"/>
              <w:right w:val="nil"/>
            </w:tcBorders>
            <w:noWrap/>
            <w:vAlign w:val="bottom"/>
          </w:tcPr>
          <w:p w14:paraId="651A1FB7" w14:textId="77777777" w:rsidR="006F606E" w:rsidRDefault="006F606E" w:rsidP="009C3A0E">
            <w:pPr>
              <w:spacing w:after="0" w:line="240" w:lineRule="auto"/>
              <w:rPr>
                <w:color w:val="000000"/>
              </w:rPr>
            </w:pPr>
          </w:p>
        </w:tc>
        <w:tc>
          <w:tcPr>
            <w:tcW w:w="3019" w:type="dxa"/>
            <w:gridSpan w:val="3"/>
            <w:tcBorders>
              <w:top w:val="nil"/>
              <w:left w:val="nil"/>
              <w:bottom w:val="nil"/>
              <w:right w:val="nil"/>
            </w:tcBorders>
            <w:noWrap/>
            <w:vAlign w:val="bottom"/>
          </w:tcPr>
          <w:p w14:paraId="651A1FB8" w14:textId="77777777" w:rsidR="006F606E" w:rsidRDefault="006F606E" w:rsidP="009C3A0E">
            <w:pPr>
              <w:pBdr>
                <w:bottom w:val="single" w:sz="4" w:space="1" w:color="000000"/>
              </w:pBdr>
              <w:spacing w:after="0" w:line="240" w:lineRule="auto"/>
              <w:jc w:val="center"/>
              <w:rPr>
                <w:b/>
                <w:bCs/>
                <w:color w:val="000000"/>
              </w:rPr>
            </w:pPr>
            <w:r>
              <w:rPr>
                <w:b/>
                <w:bCs/>
                <w:color w:val="000000"/>
              </w:rPr>
              <w:t>December 31,</w:t>
            </w:r>
          </w:p>
        </w:tc>
      </w:tr>
      <w:tr w:rsidR="006F606E" w14:paraId="651A1FBF" w14:textId="77777777" w:rsidTr="009C3A0E">
        <w:trPr>
          <w:trHeight w:val="300"/>
        </w:trPr>
        <w:tc>
          <w:tcPr>
            <w:tcW w:w="5978" w:type="dxa"/>
            <w:tcBorders>
              <w:top w:val="nil"/>
              <w:left w:val="nil"/>
              <w:bottom w:val="nil"/>
              <w:right w:val="nil"/>
            </w:tcBorders>
            <w:noWrap/>
            <w:vAlign w:val="bottom"/>
          </w:tcPr>
          <w:p w14:paraId="651A1FBA" w14:textId="77777777" w:rsidR="006F606E" w:rsidRDefault="006F606E" w:rsidP="009C3A0E">
            <w:pPr>
              <w:spacing w:after="0" w:line="240" w:lineRule="auto"/>
              <w:rPr>
                <w:color w:val="000000"/>
              </w:rPr>
            </w:pPr>
          </w:p>
        </w:tc>
        <w:tc>
          <w:tcPr>
            <w:tcW w:w="269" w:type="dxa"/>
            <w:tcBorders>
              <w:top w:val="nil"/>
              <w:left w:val="nil"/>
              <w:bottom w:val="nil"/>
              <w:right w:val="nil"/>
            </w:tcBorders>
            <w:noWrap/>
            <w:vAlign w:val="bottom"/>
          </w:tcPr>
          <w:p w14:paraId="651A1FBB" w14:textId="77777777" w:rsidR="006F606E" w:rsidRDefault="006F606E" w:rsidP="009C3A0E">
            <w:pPr>
              <w:spacing w:after="0" w:line="240" w:lineRule="auto"/>
              <w:rPr>
                <w:color w:val="000000"/>
              </w:rPr>
            </w:pPr>
          </w:p>
        </w:tc>
        <w:tc>
          <w:tcPr>
            <w:tcW w:w="1446" w:type="dxa"/>
            <w:tcBorders>
              <w:top w:val="nil"/>
              <w:left w:val="nil"/>
              <w:bottom w:val="nil"/>
              <w:right w:val="nil"/>
            </w:tcBorders>
            <w:noWrap/>
            <w:vAlign w:val="bottom"/>
          </w:tcPr>
          <w:p w14:paraId="651A1FBC" w14:textId="77777777" w:rsidR="006F606E" w:rsidRDefault="006F606E" w:rsidP="009C3A0E">
            <w:pPr>
              <w:pBdr>
                <w:bottom w:val="single" w:sz="4" w:space="1" w:color="000000"/>
              </w:pBdr>
              <w:spacing w:after="0" w:line="240" w:lineRule="auto"/>
              <w:jc w:val="center"/>
              <w:rPr>
                <w:b/>
                <w:bCs/>
                <w:color w:val="000000"/>
              </w:rPr>
            </w:pPr>
            <w:r>
              <w:rPr>
                <w:b/>
                <w:bCs/>
                <w:color w:val="000000"/>
              </w:rPr>
              <w:t>20X1</w:t>
            </w:r>
          </w:p>
        </w:tc>
        <w:tc>
          <w:tcPr>
            <w:tcW w:w="297" w:type="dxa"/>
            <w:tcBorders>
              <w:top w:val="nil"/>
              <w:left w:val="nil"/>
              <w:bottom w:val="nil"/>
              <w:right w:val="nil"/>
            </w:tcBorders>
            <w:noWrap/>
            <w:vAlign w:val="bottom"/>
          </w:tcPr>
          <w:p w14:paraId="651A1FBD" w14:textId="77777777" w:rsidR="006F606E" w:rsidRDefault="006F606E" w:rsidP="009C3A0E">
            <w:pPr>
              <w:spacing w:after="0" w:line="240" w:lineRule="auto"/>
              <w:rPr>
                <w:color w:val="000000"/>
              </w:rPr>
            </w:pPr>
          </w:p>
        </w:tc>
        <w:tc>
          <w:tcPr>
            <w:tcW w:w="1276" w:type="dxa"/>
            <w:tcBorders>
              <w:top w:val="nil"/>
              <w:left w:val="nil"/>
              <w:bottom w:val="nil"/>
              <w:right w:val="nil"/>
            </w:tcBorders>
            <w:noWrap/>
            <w:vAlign w:val="bottom"/>
          </w:tcPr>
          <w:p w14:paraId="651A1FBE" w14:textId="77777777" w:rsidR="006F606E" w:rsidRDefault="006F606E" w:rsidP="009C3A0E">
            <w:pPr>
              <w:pBdr>
                <w:bottom w:val="single" w:sz="4" w:space="1" w:color="000000"/>
              </w:pBdr>
              <w:spacing w:after="0" w:line="240" w:lineRule="auto"/>
              <w:jc w:val="center"/>
              <w:rPr>
                <w:b/>
                <w:bCs/>
                <w:color w:val="000000"/>
              </w:rPr>
            </w:pPr>
            <w:r>
              <w:rPr>
                <w:b/>
                <w:bCs/>
                <w:color w:val="000000"/>
              </w:rPr>
              <w:t>20XX</w:t>
            </w:r>
          </w:p>
        </w:tc>
      </w:tr>
      <w:tr w:rsidR="006F606E" w14:paraId="651A1FC5" w14:textId="77777777" w:rsidTr="009C3A0E">
        <w:trPr>
          <w:trHeight w:val="300"/>
        </w:trPr>
        <w:tc>
          <w:tcPr>
            <w:tcW w:w="5978" w:type="dxa"/>
            <w:tcBorders>
              <w:top w:val="nil"/>
              <w:left w:val="nil"/>
              <w:bottom w:val="nil"/>
              <w:right w:val="nil"/>
            </w:tcBorders>
            <w:noWrap/>
            <w:vAlign w:val="bottom"/>
          </w:tcPr>
          <w:p w14:paraId="651A1FC0" w14:textId="77777777" w:rsidR="006F606E" w:rsidRDefault="006F606E" w:rsidP="009C3A0E">
            <w:pPr>
              <w:spacing w:after="0" w:line="240" w:lineRule="auto"/>
              <w:jc w:val="both"/>
              <w:rPr>
                <w:color w:val="000000"/>
              </w:rPr>
            </w:pPr>
            <w:r>
              <w:rPr>
                <w:color w:val="000000"/>
              </w:rPr>
              <w:t>Raw materials and consumables</w:t>
            </w:r>
          </w:p>
        </w:tc>
        <w:tc>
          <w:tcPr>
            <w:tcW w:w="269" w:type="dxa"/>
            <w:tcBorders>
              <w:top w:val="nil"/>
              <w:left w:val="nil"/>
              <w:bottom w:val="nil"/>
              <w:right w:val="nil"/>
            </w:tcBorders>
            <w:noWrap/>
            <w:vAlign w:val="bottom"/>
          </w:tcPr>
          <w:p w14:paraId="651A1FC1" w14:textId="77777777" w:rsidR="006F606E" w:rsidRDefault="006F606E" w:rsidP="009C3A0E">
            <w:pPr>
              <w:spacing w:after="0" w:line="240" w:lineRule="auto"/>
              <w:rPr>
                <w:color w:val="000000"/>
              </w:rPr>
            </w:pPr>
          </w:p>
        </w:tc>
        <w:tc>
          <w:tcPr>
            <w:tcW w:w="1446" w:type="dxa"/>
            <w:tcBorders>
              <w:top w:val="nil"/>
              <w:left w:val="nil"/>
              <w:bottom w:val="nil"/>
              <w:right w:val="nil"/>
            </w:tcBorders>
            <w:noWrap/>
            <w:vAlign w:val="bottom"/>
          </w:tcPr>
          <w:p w14:paraId="651A1FC2" w14:textId="77777777" w:rsidR="006F606E" w:rsidRDefault="006F606E" w:rsidP="009C3A0E">
            <w:pPr>
              <w:spacing w:after="0" w:line="240" w:lineRule="auto"/>
              <w:jc w:val="center"/>
              <w:rPr>
                <w:color w:val="000000"/>
              </w:rPr>
            </w:pPr>
          </w:p>
        </w:tc>
        <w:tc>
          <w:tcPr>
            <w:tcW w:w="297" w:type="dxa"/>
            <w:tcBorders>
              <w:top w:val="nil"/>
              <w:left w:val="nil"/>
              <w:bottom w:val="nil"/>
              <w:right w:val="nil"/>
            </w:tcBorders>
            <w:noWrap/>
            <w:vAlign w:val="bottom"/>
          </w:tcPr>
          <w:p w14:paraId="651A1FC3" w14:textId="77777777" w:rsidR="006F606E" w:rsidRDefault="006F606E" w:rsidP="009C3A0E">
            <w:pPr>
              <w:spacing w:after="0" w:line="240" w:lineRule="auto"/>
              <w:rPr>
                <w:color w:val="000000"/>
              </w:rPr>
            </w:pPr>
          </w:p>
        </w:tc>
        <w:tc>
          <w:tcPr>
            <w:tcW w:w="1276" w:type="dxa"/>
            <w:tcBorders>
              <w:top w:val="nil"/>
              <w:left w:val="nil"/>
              <w:bottom w:val="nil"/>
              <w:right w:val="nil"/>
            </w:tcBorders>
            <w:noWrap/>
            <w:vAlign w:val="bottom"/>
          </w:tcPr>
          <w:p w14:paraId="651A1FC4" w14:textId="77777777" w:rsidR="006F606E" w:rsidRDefault="006F606E" w:rsidP="009C3A0E">
            <w:pPr>
              <w:spacing w:after="0" w:line="240" w:lineRule="auto"/>
              <w:jc w:val="center"/>
              <w:rPr>
                <w:color w:val="000000"/>
              </w:rPr>
            </w:pPr>
          </w:p>
        </w:tc>
      </w:tr>
      <w:tr w:rsidR="006F606E" w14:paraId="651A1FCB" w14:textId="77777777" w:rsidTr="009C3A0E">
        <w:trPr>
          <w:trHeight w:val="300"/>
        </w:trPr>
        <w:tc>
          <w:tcPr>
            <w:tcW w:w="5978" w:type="dxa"/>
            <w:tcBorders>
              <w:top w:val="nil"/>
              <w:left w:val="nil"/>
              <w:bottom w:val="nil"/>
              <w:right w:val="nil"/>
            </w:tcBorders>
            <w:noWrap/>
            <w:vAlign w:val="bottom"/>
          </w:tcPr>
          <w:p w14:paraId="651A1FC6" w14:textId="77777777" w:rsidR="006F606E" w:rsidRDefault="006F606E" w:rsidP="009C3A0E">
            <w:pPr>
              <w:spacing w:after="0" w:line="240" w:lineRule="auto"/>
              <w:jc w:val="both"/>
              <w:rPr>
                <w:color w:val="000000"/>
              </w:rPr>
            </w:pPr>
            <w:r>
              <w:rPr>
                <w:color w:val="000000"/>
              </w:rPr>
              <w:t>Work in progress</w:t>
            </w:r>
          </w:p>
        </w:tc>
        <w:tc>
          <w:tcPr>
            <w:tcW w:w="269" w:type="dxa"/>
            <w:tcBorders>
              <w:top w:val="nil"/>
              <w:left w:val="nil"/>
              <w:bottom w:val="nil"/>
              <w:right w:val="nil"/>
            </w:tcBorders>
            <w:noWrap/>
            <w:vAlign w:val="bottom"/>
          </w:tcPr>
          <w:p w14:paraId="651A1FC7" w14:textId="77777777" w:rsidR="006F606E" w:rsidRDefault="006F606E" w:rsidP="009C3A0E">
            <w:pPr>
              <w:spacing w:after="0" w:line="240" w:lineRule="auto"/>
              <w:rPr>
                <w:color w:val="000000"/>
              </w:rPr>
            </w:pPr>
          </w:p>
        </w:tc>
        <w:tc>
          <w:tcPr>
            <w:tcW w:w="1446" w:type="dxa"/>
            <w:tcBorders>
              <w:top w:val="nil"/>
              <w:left w:val="nil"/>
              <w:bottom w:val="nil"/>
              <w:right w:val="nil"/>
            </w:tcBorders>
            <w:noWrap/>
            <w:vAlign w:val="bottom"/>
          </w:tcPr>
          <w:p w14:paraId="651A1FC8" w14:textId="77777777" w:rsidR="006F606E" w:rsidRDefault="006F606E" w:rsidP="009C3A0E">
            <w:pPr>
              <w:spacing w:after="0" w:line="240" w:lineRule="auto"/>
              <w:jc w:val="center"/>
              <w:rPr>
                <w:color w:val="000000"/>
              </w:rPr>
            </w:pPr>
          </w:p>
        </w:tc>
        <w:tc>
          <w:tcPr>
            <w:tcW w:w="297" w:type="dxa"/>
            <w:tcBorders>
              <w:top w:val="nil"/>
              <w:left w:val="nil"/>
              <w:bottom w:val="nil"/>
              <w:right w:val="nil"/>
            </w:tcBorders>
            <w:noWrap/>
            <w:vAlign w:val="bottom"/>
          </w:tcPr>
          <w:p w14:paraId="651A1FC9" w14:textId="77777777" w:rsidR="006F606E" w:rsidRDefault="006F606E" w:rsidP="009C3A0E">
            <w:pPr>
              <w:spacing w:after="0" w:line="240" w:lineRule="auto"/>
              <w:rPr>
                <w:color w:val="000000"/>
              </w:rPr>
            </w:pPr>
          </w:p>
        </w:tc>
        <w:tc>
          <w:tcPr>
            <w:tcW w:w="1276" w:type="dxa"/>
            <w:tcBorders>
              <w:top w:val="nil"/>
              <w:left w:val="nil"/>
              <w:bottom w:val="nil"/>
              <w:right w:val="nil"/>
            </w:tcBorders>
            <w:noWrap/>
            <w:vAlign w:val="bottom"/>
          </w:tcPr>
          <w:p w14:paraId="651A1FCA" w14:textId="77777777" w:rsidR="006F606E" w:rsidRDefault="006F606E" w:rsidP="009C3A0E">
            <w:pPr>
              <w:spacing w:after="0" w:line="240" w:lineRule="auto"/>
              <w:jc w:val="center"/>
              <w:rPr>
                <w:color w:val="000000"/>
              </w:rPr>
            </w:pPr>
          </w:p>
        </w:tc>
      </w:tr>
      <w:tr w:rsidR="006F606E" w14:paraId="651A1FD1" w14:textId="77777777" w:rsidTr="009C3A0E">
        <w:trPr>
          <w:trHeight w:val="300"/>
        </w:trPr>
        <w:tc>
          <w:tcPr>
            <w:tcW w:w="5978" w:type="dxa"/>
            <w:tcBorders>
              <w:top w:val="nil"/>
              <w:left w:val="nil"/>
              <w:bottom w:val="nil"/>
              <w:right w:val="nil"/>
            </w:tcBorders>
            <w:noWrap/>
            <w:vAlign w:val="bottom"/>
          </w:tcPr>
          <w:p w14:paraId="651A1FCC" w14:textId="77777777" w:rsidR="006F606E" w:rsidRDefault="006F606E" w:rsidP="009C3A0E">
            <w:pPr>
              <w:spacing w:after="0" w:line="240" w:lineRule="auto"/>
              <w:jc w:val="both"/>
              <w:rPr>
                <w:color w:val="000000"/>
              </w:rPr>
            </w:pPr>
            <w:r>
              <w:rPr>
                <w:color w:val="000000"/>
              </w:rPr>
              <w:t>Finished goods</w:t>
            </w:r>
          </w:p>
        </w:tc>
        <w:tc>
          <w:tcPr>
            <w:tcW w:w="269" w:type="dxa"/>
            <w:tcBorders>
              <w:top w:val="nil"/>
              <w:left w:val="nil"/>
              <w:bottom w:val="nil"/>
              <w:right w:val="nil"/>
            </w:tcBorders>
            <w:noWrap/>
            <w:vAlign w:val="bottom"/>
          </w:tcPr>
          <w:p w14:paraId="651A1FCD" w14:textId="77777777" w:rsidR="006F606E" w:rsidRDefault="006F606E" w:rsidP="009C3A0E">
            <w:pPr>
              <w:spacing w:after="0" w:line="240" w:lineRule="auto"/>
              <w:rPr>
                <w:color w:val="000000"/>
              </w:rPr>
            </w:pPr>
          </w:p>
        </w:tc>
        <w:tc>
          <w:tcPr>
            <w:tcW w:w="1446" w:type="dxa"/>
            <w:tcBorders>
              <w:top w:val="nil"/>
              <w:left w:val="nil"/>
              <w:bottom w:val="nil"/>
              <w:right w:val="nil"/>
            </w:tcBorders>
            <w:noWrap/>
            <w:vAlign w:val="bottom"/>
          </w:tcPr>
          <w:p w14:paraId="651A1FCE" w14:textId="77777777" w:rsidR="006F606E" w:rsidRDefault="006F606E" w:rsidP="009C3A0E">
            <w:pPr>
              <w:spacing w:after="0" w:line="240" w:lineRule="auto"/>
              <w:jc w:val="center"/>
              <w:rPr>
                <w:color w:val="000000"/>
              </w:rPr>
            </w:pPr>
          </w:p>
        </w:tc>
        <w:tc>
          <w:tcPr>
            <w:tcW w:w="297" w:type="dxa"/>
            <w:tcBorders>
              <w:top w:val="nil"/>
              <w:left w:val="nil"/>
              <w:bottom w:val="nil"/>
              <w:right w:val="nil"/>
            </w:tcBorders>
            <w:noWrap/>
            <w:vAlign w:val="bottom"/>
          </w:tcPr>
          <w:p w14:paraId="651A1FCF" w14:textId="77777777" w:rsidR="006F606E" w:rsidRDefault="006F606E" w:rsidP="009C3A0E">
            <w:pPr>
              <w:spacing w:after="0" w:line="240" w:lineRule="auto"/>
              <w:rPr>
                <w:color w:val="000000"/>
              </w:rPr>
            </w:pPr>
          </w:p>
        </w:tc>
        <w:tc>
          <w:tcPr>
            <w:tcW w:w="1276" w:type="dxa"/>
            <w:tcBorders>
              <w:top w:val="nil"/>
              <w:left w:val="nil"/>
              <w:bottom w:val="nil"/>
              <w:right w:val="nil"/>
            </w:tcBorders>
            <w:noWrap/>
            <w:vAlign w:val="bottom"/>
          </w:tcPr>
          <w:p w14:paraId="651A1FD0" w14:textId="77777777" w:rsidR="006F606E" w:rsidRDefault="006F606E" w:rsidP="009C3A0E">
            <w:pPr>
              <w:spacing w:after="0" w:line="240" w:lineRule="auto"/>
              <w:jc w:val="center"/>
              <w:rPr>
                <w:color w:val="000000"/>
              </w:rPr>
            </w:pPr>
          </w:p>
        </w:tc>
      </w:tr>
      <w:tr w:rsidR="006F606E" w14:paraId="651A1FD7" w14:textId="77777777" w:rsidTr="009C3A0E">
        <w:trPr>
          <w:trHeight w:val="402"/>
        </w:trPr>
        <w:tc>
          <w:tcPr>
            <w:tcW w:w="5978" w:type="dxa"/>
            <w:tcBorders>
              <w:top w:val="nil"/>
              <w:left w:val="nil"/>
              <w:bottom w:val="nil"/>
              <w:right w:val="nil"/>
            </w:tcBorders>
            <w:noWrap/>
            <w:vAlign w:val="bottom"/>
          </w:tcPr>
          <w:p w14:paraId="651A1FD2" w14:textId="7AD4AD89" w:rsidR="006F606E" w:rsidRDefault="00190C60" w:rsidP="009C3A0E">
            <w:pPr>
              <w:spacing w:after="0" w:line="240" w:lineRule="auto"/>
              <w:rPr>
                <w:color w:val="000000"/>
              </w:rPr>
            </w:pPr>
            <w:r>
              <w:rPr>
                <w:color w:val="000000"/>
              </w:rPr>
              <w:t>Total inventories</w:t>
            </w:r>
          </w:p>
        </w:tc>
        <w:tc>
          <w:tcPr>
            <w:tcW w:w="269" w:type="dxa"/>
            <w:tcBorders>
              <w:top w:val="nil"/>
              <w:left w:val="nil"/>
              <w:bottom w:val="nil"/>
              <w:right w:val="nil"/>
            </w:tcBorders>
            <w:noWrap/>
            <w:vAlign w:val="bottom"/>
          </w:tcPr>
          <w:p w14:paraId="651A1FD3" w14:textId="77777777" w:rsidR="006F606E" w:rsidRDefault="006F606E" w:rsidP="009C3A0E">
            <w:pPr>
              <w:spacing w:after="0" w:line="240" w:lineRule="auto"/>
              <w:rPr>
                <w:color w:val="000000"/>
              </w:rPr>
            </w:pPr>
          </w:p>
        </w:tc>
        <w:tc>
          <w:tcPr>
            <w:tcW w:w="1446" w:type="dxa"/>
            <w:tcBorders>
              <w:top w:val="single" w:sz="4" w:space="0" w:color="auto"/>
              <w:left w:val="nil"/>
              <w:bottom w:val="double" w:sz="6" w:space="0" w:color="auto"/>
              <w:right w:val="nil"/>
            </w:tcBorders>
            <w:noWrap/>
            <w:vAlign w:val="bottom"/>
          </w:tcPr>
          <w:p w14:paraId="651A1FD4" w14:textId="77777777" w:rsidR="006F606E" w:rsidRDefault="006F606E" w:rsidP="009C3A0E">
            <w:pPr>
              <w:spacing w:after="0" w:line="240" w:lineRule="auto"/>
              <w:jc w:val="center"/>
              <w:rPr>
                <w:color w:val="000000"/>
              </w:rPr>
            </w:pPr>
          </w:p>
        </w:tc>
        <w:tc>
          <w:tcPr>
            <w:tcW w:w="297" w:type="dxa"/>
            <w:tcBorders>
              <w:top w:val="nil"/>
              <w:left w:val="nil"/>
              <w:bottom w:val="nil"/>
              <w:right w:val="nil"/>
            </w:tcBorders>
            <w:noWrap/>
            <w:vAlign w:val="bottom"/>
          </w:tcPr>
          <w:p w14:paraId="651A1FD5" w14:textId="77777777" w:rsidR="006F606E" w:rsidRDefault="006F606E" w:rsidP="009C3A0E">
            <w:pPr>
              <w:spacing w:after="0" w:line="240" w:lineRule="auto"/>
              <w:rPr>
                <w:color w:val="000000"/>
              </w:rPr>
            </w:pPr>
          </w:p>
        </w:tc>
        <w:tc>
          <w:tcPr>
            <w:tcW w:w="1276" w:type="dxa"/>
            <w:tcBorders>
              <w:top w:val="single" w:sz="4" w:space="0" w:color="auto"/>
              <w:left w:val="nil"/>
              <w:bottom w:val="double" w:sz="6" w:space="0" w:color="auto"/>
              <w:right w:val="nil"/>
            </w:tcBorders>
            <w:noWrap/>
            <w:vAlign w:val="bottom"/>
          </w:tcPr>
          <w:p w14:paraId="651A1FD6" w14:textId="77777777" w:rsidR="006F606E" w:rsidRDefault="006F606E" w:rsidP="009C3A0E">
            <w:pPr>
              <w:spacing w:after="0" w:line="240" w:lineRule="auto"/>
              <w:jc w:val="center"/>
              <w:rPr>
                <w:color w:val="000000"/>
              </w:rPr>
            </w:pPr>
          </w:p>
        </w:tc>
      </w:tr>
    </w:tbl>
    <w:p w14:paraId="651A1FD8" w14:textId="77777777" w:rsidR="006F606E" w:rsidRDefault="006F606E" w:rsidP="007A782A">
      <w:pPr>
        <w:pStyle w:val="Text1"/>
      </w:pPr>
    </w:p>
    <w:p w14:paraId="41E91C03" w14:textId="6BB7D9DC" w:rsidR="00190C60" w:rsidRPr="00190C60" w:rsidRDefault="00190C60" w:rsidP="007A782A">
      <w:pPr>
        <w:pStyle w:val="Text1"/>
      </w:pPr>
      <w:r w:rsidRPr="00190C60">
        <w:rPr>
          <w:rFonts w:eastAsia="Arial"/>
        </w:rPr>
        <w:t xml:space="preserve">The amounts above include inventories carried at net realizable value (estimated selling price less costs to sell) of </w:t>
      </w:r>
      <w:r w:rsidR="009445B5">
        <w:rPr>
          <w:rFonts w:eastAsia="Arial"/>
        </w:rPr>
        <w:t>US</w:t>
      </w:r>
      <w:r w:rsidRPr="00190C60">
        <w:rPr>
          <w:rFonts w:eastAsia="Arial"/>
        </w:rPr>
        <w:t>$</w:t>
      </w:r>
      <w:r>
        <w:rPr>
          <w:rFonts w:eastAsia="Arial"/>
        </w:rPr>
        <w:t>_____</w:t>
      </w:r>
      <w:r w:rsidRPr="00190C60">
        <w:rPr>
          <w:rFonts w:eastAsia="Arial"/>
        </w:rPr>
        <w:t xml:space="preserve"> and </w:t>
      </w:r>
      <w:r w:rsidR="009445B5">
        <w:rPr>
          <w:rFonts w:eastAsia="Arial"/>
        </w:rPr>
        <w:t>US</w:t>
      </w:r>
      <w:r w:rsidRPr="00190C60">
        <w:rPr>
          <w:rFonts w:eastAsia="Arial"/>
        </w:rPr>
        <w:t>$</w:t>
      </w:r>
      <w:r>
        <w:rPr>
          <w:rFonts w:eastAsia="Arial"/>
        </w:rPr>
        <w:t>_____</w:t>
      </w:r>
      <w:r w:rsidRPr="00190C60">
        <w:rPr>
          <w:rFonts w:eastAsia="Arial"/>
        </w:rPr>
        <w:t xml:space="preserve"> as of </w:t>
      </w:r>
      <w:r>
        <w:rPr>
          <w:rFonts w:eastAsia="Arial"/>
        </w:rPr>
        <w:t xml:space="preserve">December 31, </w:t>
      </w:r>
      <w:r w:rsidRPr="00190C60">
        <w:rPr>
          <w:rFonts w:eastAsia="Arial"/>
        </w:rPr>
        <w:t>20</w:t>
      </w:r>
      <w:r>
        <w:rPr>
          <w:rFonts w:eastAsia="Arial"/>
        </w:rPr>
        <w:t>X1 and 20XX</w:t>
      </w:r>
      <w:r w:rsidRPr="00190C60">
        <w:rPr>
          <w:rFonts w:eastAsia="Arial"/>
        </w:rPr>
        <w:t xml:space="preserve">, respectively. During the years ended </w:t>
      </w:r>
      <w:r>
        <w:rPr>
          <w:rFonts w:eastAsia="Arial"/>
        </w:rPr>
        <w:t xml:space="preserve">December 31, </w:t>
      </w:r>
      <w:r w:rsidRPr="00190C60">
        <w:rPr>
          <w:rFonts w:eastAsia="Arial"/>
        </w:rPr>
        <w:t>20</w:t>
      </w:r>
      <w:r>
        <w:rPr>
          <w:rFonts w:eastAsia="Arial"/>
        </w:rPr>
        <w:t>X1</w:t>
      </w:r>
      <w:r w:rsidRPr="00190C60">
        <w:rPr>
          <w:rFonts w:eastAsia="Arial"/>
        </w:rPr>
        <w:t xml:space="preserve"> and 20</w:t>
      </w:r>
      <w:r>
        <w:rPr>
          <w:rFonts w:eastAsia="Arial"/>
        </w:rPr>
        <w:t>XX</w:t>
      </w:r>
      <w:r w:rsidRPr="00190C60">
        <w:rPr>
          <w:rFonts w:eastAsia="Arial"/>
        </w:rPr>
        <w:t xml:space="preserve">, the impairment of inventories to net realizable value amounted to </w:t>
      </w:r>
      <w:r w:rsidR="009445B5">
        <w:rPr>
          <w:rFonts w:eastAsia="Arial"/>
        </w:rPr>
        <w:t>US</w:t>
      </w:r>
      <w:r>
        <w:rPr>
          <w:rFonts w:eastAsia="Arial"/>
        </w:rPr>
        <w:t>$_____</w:t>
      </w:r>
      <w:r w:rsidRPr="00190C60">
        <w:rPr>
          <w:rFonts w:eastAsia="Arial"/>
        </w:rPr>
        <w:t xml:space="preserve"> and </w:t>
      </w:r>
      <w:r w:rsidR="009445B5">
        <w:rPr>
          <w:rFonts w:eastAsia="Arial"/>
        </w:rPr>
        <w:t>US</w:t>
      </w:r>
      <w:r w:rsidRPr="00190C60">
        <w:rPr>
          <w:rFonts w:eastAsia="Arial"/>
        </w:rPr>
        <w:t>$</w:t>
      </w:r>
      <w:r>
        <w:rPr>
          <w:rFonts w:eastAsia="Arial"/>
        </w:rPr>
        <w:t>_____</w:t>
      </w:r>
      <w:r w:rsidRPr="00190C60">
        <w:rPr>
          <w:rFonts w:eastAsia="Arial"/>
        </w:rPr>
        <w:t xml:space="preserve">, respectively. During the years ended </w:t>
      </w:r>
      <w:r>
        <w:rPr>
          <w:rFonts w:eastAsia="Arial"/>
        </w:rPr>
        <w:t xml:space="preserve">December 31, </w:t>
      </w:r>
      <w:r w:rsidRPr="00190C60">
        <w:rPr>
          <w:rFonts w:eastAsia="Arial"/>
        </w:rPr>
        <w:t>20</w:t>
      </w:r>
      <w:r>
        <w:rPr>
          <w:rFonts w:eastAsia="Arial"/>
        </w:rPr>
        <w:t>X1</w:t>
      </w:r>
      <w:r w:rsidRPr="00190C60">
        <w:rPr>
          <w:rFonts w:eastAsia="Arial"/>
        </w:rPr>
        <w:t xml:space="preserve"> and </w:t>
      </w:r>
      <w:r>
        <w:rPr>
          <w:rFonts w:eastAsia="Arial"/>
        </w:rPr>
        <w:t>2</w:t>
      </w:r>
      <w:r w:rsidRPr="00190C60">
        <w:rPr>
          <w:rFonts w:eastAsia="Arial"/>
        </w:rPr>
        <w:t>0</w:t>
      </w:r>
      <w:r>
        <w:rPr>
          <w:rFonts w:eastAsia="Arial"/>
        </w:rPr>
        <w:t>XX</w:t>
      </w:r>
      <w:r w:rsidRPr="00190C60">
        <w:rPr>
          <w:rFonts w:eastAsia="Arial"/>
        </w:rPr>
        <w:t xml:space="preserve"> the reversal of impairments recognized in profit or loss amounted to </w:t>
      </w:r>
      <w:r w:rsidR="009445B5">
        <w:rPr>
          <w:rFonts w:eastAsia="Arial"/>
        </w:rPr>
        <w:t>US</w:t>
      </w:r>
      <w:r w:rsidRPr="00190C60">
        <w:rPr>
          <w:rFonts w:eastAsia="Arial"/>
        </w:rPr>
        <w:t>$</w:t>
      </w:r>
      <w:r>
        <w:rPr>
          <w:rFonts w:eastAsia="Arial"/>
        </w:rPr>
        <w:t>_____</w:t>
      </w:r>
      <w:r w:rsidRPr="00190C60">
        <w:rPr>
          <w:rFonts w:eastAsia="Arial"/>
        </w:rPr>
        <w:t xml:space="preserve"> and </w:t>
      </w:r>
      <w:r w:rsidR="009445B5">
        <w:rPr>
          <w:rFonts w:eastAsia="Arial"/>
        </w:rPr>
        <w:t>US</w:t>
      </w:r>
      <w:r w:rsidRPr="00190C60">
        <w:rPr>
          <w:rFonts w:eastAsia="Arial"/>
        </w:rPr>
        <w:t>$</w:t>
      </w:r>
      <w:r>
        <w:rPr>
          <w:rFonts w:eastAsia="Arial"/>
        </w:rPr>
        <w:t>_____</w:t>
      </w:r>
      <w:r w:rsidRPr="00190C60">
        <w:rPr>
          <w:rFonts w:eastAsia="Arial"/>
        </w:rPr>
        <w:t>, respectively, where the Group was able to sell the previously written-down inventories at higher selling prices than previously estimated.</w:t>
      </w:r>
    </w:p>
    <w:p w14:paraId="651A1FDA" w14:textId="77777777" w:rsidR="006F606E" w:rsidRDefault="006F606E" w:rsidP="003D02A4">
      <w:pPr>
        <w:pStyle w:val="Head1"/>
      </w:pPr>
      <w:r>
        <w:lastRenderedPageBreak/>
        <w:t>7.8</w:t>
      </w:r>
      <w:r>
        <w:tab/>
        <w:t>Illustrative example</w:t>
      </w:r>
    </w:p>
    <w:p w14:paraId="651A1FDB" w14:textId="77777777" w:rsidR="006F606E" w:rsidRDefault="006F606E" w:rsidP="003D02A4">
      <w:pPr>
        <w:pStyle w:val="Text1"/>
      </w:pPr>
      <w:r>
        <w:t>Weighted average method calculation</w:t>
      </w:r>
    </w:p>
    <w:p w14:paraId="651A1FDC" w14:textId="77777777" w:rsidR="006F606E" w:rsidRDefault="006F606E" w:rsidP="003D02A4">
      <w:pPr>
        <w:pStyle w:val="Text1kwn"/>
      </w:pPr>
      <w:r>
        <w:t>The following information pertains to 20XX for Cosmolite:</w:t>
      </w:r>
    </w:p>
    <w:tbl>
      <w:tblPr>
        <w:tblW w:w="0" w:type="auto"/>
        <w:tblInd w:w="-106" w:type="dxa"/>
        <w:tblLook w:val="0000" w:firstRow="0" w:lastRow="0" w:firstColumn="0" w:lastColumn="0" w:noHBand="0" w:noVBand="0"/>
      </w:tblPr>
      <w:tblGrid>
        <w:gridCol w:w="1866"/>
        <w:gridCol w:w="1865"/>
        <w:gridCol w:w="1860"/>
        <w:gridCol w:w="1860"/>
        <w:gridCol w:w="1861"/>
      </w:tblGrid>
      <w:tr w:rsidR="006F606E" w:rsidRPr="0073288C" w14:paraId="651A1FE2" w14:textId="77777777" w:rsidTr="00EE1B8C">
        <w:tc>
          <w:tcPr>
            <w:tcW w:w="1866" w:type="dxa"/>
            <w:tcBorders>
              <w:top w:val="nil"/>
              <w:left w:val="nil"/>
              <w:bottom w:val="nil"/>
              <w:right w:val="nil"/>
            </w:tcBorders>
          </w:tcPr>
          <w:p w14:paraId="651A1FDD" w14:textId="77777777" w:rsidR="006F606E" w:rsidRPr="0073288C" w:rsidRDefault="006F606E" w:rsidP="00EE1B8C">
            <w:pPr>
              <w:pStyle w:val="Default"/>
              <w:jc w:val="center"/>
              <w:rPr>
                <w:b/>
                <w:bCs/>
                <w:color w:val="auto"/>
                <w:sz w:val="22"/>
                <w:szCs w:val="22"/>
              </w:rPr>
            </w:pPr>
            <w:r w:rsidRPr="0073288C">
              <w:rPr>
                <w:b/>
                <w:bCs/>
                <w:color w:val="auto"/>
                <w:sz w:val="22"/>
                <w:szCs w:val="22"/>
              </w:rPr>
              <w:t>Date</w:t>
            </w:r>
          </w:p>
        </w:tc>
        <w:tc>
          <w:tcPr>
            <w:tcW w:w="1865" w:type="dxa"/>
            <w:tcBorders>
              <w:top w:val="nil"/>
              <w:left w:val="nil"/>
              <w:bottom w:val="nil"/>
              <w:right w:val="nil"/>
            </w:tcBorders>
          </w:tcPr>
          <w:p w14:paraId="651A1FDE" w14:textId="77777777" w:rsidR="006F606E" w:rsidRPr="0073288C" w:rsidRDefault="006F606E" w:rsidP="00EE1B8C">
            <w:pPr>
              <w:pStyle w:val="Default"/>
              <w:jc w:val="center"/>
              <w:rPr>
                <w:b/>
                <w:bCs/>
                <w:color w:val="auto"/>
                <w:sz w:val="22"/>
                <w:szCs w:val="22"/>
              </w:rPr>
            </w:pPr>
            <w:r w:rsidRPr="0073288C">
              <w:rPr>
                <w:b/>
                <w:bCs/>
                <w:color w:val="auto"/>
                <w:sz w:val="22"/>
                <w:szCs w:val="22"/>
              </w:rPr>
              <w:t>Source units</w:t>
            </w:r>
          </w:p>
        </w:tc>
        <w:tc>
          <w:tcPr>
            <w:tcW w:w="1860" w:type="dxa"/>
            <w:tcBorders>
              <w:top w:val="nil"/>
              <w:left w:val="nil"/>
              <w:bottom w:val="nil"/>
              <w:right w:val="nil"/>
            </w:tcBorders>
          </w:tcPr>
          <w:p w14:paraId="651A1FDF" w14:textId="77777777" w:rsidR="006F606E" w:rsidRPr="0073288C" w:rsidRDefault="006F606E" w:rsidP="00EE1B8C">
            <w:pPr>
              <w:pStyle w:val="Default"/>
              <w:jc w:val="center"/>
              <w:rPr>
                <w:b/>
                <w:bCs/>
                <w:color w:val="auto"/>
                <w:sz w:val="22"/>
                <w:szCs w:val="22"/>
              </w:rPr>
            </w:pPr>
            <w:r w:rsidRPr="0073288C">
              <w:rPr>
                <w:b/>
                <w:bCs/>
                <w:color w:val="auto"/>
                <w:sz w:val="22"/>
                <w:szCs w:val="22"/>
              </w:rPr>
              <w:t>Unit</w:t>
            </w:r>
          </w:p>
        </w:tc>
        <w:tc>
          <w:tcPr>
            <w:tcW w:w="1860" w:type="dxa"/>
            <w:tcBorders>
              <w:top w:val="nil"/>
              <w:left w:val="nil"/>
              <w:bottom w:val="nil"/>
              <w:right w:val="nil"/>
            </w:tcBorders>
          </w:tcPr>
          <w:p w14:paraId="651A1FE0" w14:textId="072DCDA7" w:rsidR="006F606E" w:rsidRPr="0073288C" w:rsidRDefault="006F606E" w:rsidP="00EE1B8C">
            <w:pPr>
              <w:pStyle w:val="Default"/>
              <w:jc w:val="center"/>
              <w:rPr>
                <w:b/>
                <w:bCs/>
                <w:color w:val="auto"/>
                <w:sz w:val="22"/>
                <w:szCs w:val="22"/>
              </w:rPr>
            </w:pPr>
            <w:r w:rsidRPr="0073288C">
              <w:rPr>
                <w:b/>
                <w:bCs/>
                <w:color w:val="auto"/>
                <w:sz w:val="22"/>
                <w:szCs w:val="22"/>
              </w:rPr>
              <w:t>Cost (</w:t>
            </w:r>
            <w:r w:rsidR="009445B5">
              <w:rPr>
                <w:b/>
                <w:bCs/>
                <w:color w:val="auto"/>
                <w:sz w:val="22"/>
                <w:szCs w:val="22"/>
              </w:rPr>
              <w:t>US</w:t>
            </w:r>
            <w:r w:rsidRPr="0073288C">
              <w:rPr>
                <w:b/>
                <w:bCs/>
                <w:color w:val="auto"/>
                <w:sz w:val="22"/>
                <w:szCs w:val="22"/>
              </w:rPr>
              <w:t>$)</w:t>
            </w:r>
          </w:p>
        </w:tc>
        <w:tc>
          <w:tcPr>
            <w:tcW w:w="1861" w:type="dxa"/>
            <w:tcBorders>
              <w:top w:val="nil"/>
              <w:left w:val="nil"/>
              <w:bottom w:val="nil"/>
              <w:right w:val="nil"/>
            </w:tcBorders>
          </w:tcPr>
          <w:p w14:paraId="651A1FE1" w14:textId="03373565" w:rsidR="006F606E" w:rsidRPr="0073288C" w:rsidRDefault="006F606E" w:rsidP="00EE1B8C">
            <w:pPr>
              <w:pStyle w:val="Default"/>
              <w:jc w:val="center"/>
              <w:rPr>
                <w:b/>
                <w:bCs/>
                <w:color w:val="auto"/>
                <w:sz w:val="22"/>
                <w:szCs w:val="22"/>
              </w:rPr>
            </w:pPr>
            <w:r w:rsidRPr="0073288C">
              <w:rPr>
                <w:b/>
                <w:bCs/>
                <w:color w:val="auto"/>
                <w:sz w:val="22"/>
                <w:szCs w:val="22"/>
              </w:rPr>
              <w:t>Total cost (</w:t>
            </w:r>
            <w:r w:rsidR="009445B5">
              <w:rPr>
                <w:b/>
                <w:bCs/>
                <w:color w:val="auto"/>
                <w:sz w:val="22"/>
                <w:szCs w:val="22"/>
              </w:rPr>
              <w:t>US</w:t>
            </w:r>
            <w:bookmarkStart w:id="0" w:name="_GoBack"/>
            <w:bookmarkEnd w:id="0"/>
            <w:r w:rsidRPr="0073288C">
              <w:rPr>
                <w:b/>
                <w:bCs/>
                <w:color w:val="auto"/>
                <w:sz w:val="22"/>
                <w:szCs w:val="22"/>
              </w:rPr>
              <w:t>$)</w:t>
            </w:r>
          </w:p>
        </w:tc>
      </w:tr>
      <w:tr w:rsidR="006F606E" w:rsidRPr="0073288C" w14:paraId="651A1FE8" w14:textId="77777777" w:rsidTr="00EE1B8C">
        <w:tc>
          <w:tcPr>
            <w:tcW w:w="1866" w:type="dxa"/>
            <w:tcBorders>
              <w:top w:val="nil"/>
              <w:left w:val="nil"/>
              <w:bottom w:val="nil"/>
              <w:right w:val="nil"/>
            </w:tcBorders>
          </w:tcPr>
          <w:p w14:paraId="651A1FE3" w14:textId="77777777" w:rsidR="006F606E" w:rsidRPr="0073288C" w:rsidRDefault="006F606E" w:rsidP="00EE1B8C">
            <w:pPr>
              <w:pStyle w:val="Default"/>
              <w:rPr>
                <w:color w:val="auto"/>
                <w:sz w:val="22"/>
                <w:szCs w:val="22"/>
              </w:rPr>
            </w:pPr>
            <w:r w:rsidRPr="0073288C">
              <w:rPr>
                <w:color w:val="auto"/>
                <w:sz w:val="22"/>
                <w:szCs w:val="22"/>
              </w:rPr>
              <w:t xml:space="preserve">1/1/20XX </w:t>
            </w:r>
          </w:p>
        </w:tc>
        <w:tc>
          <w:tcPr>
            <w:tcW w:w="1865" w:type="dxa"/>
            <w:tcBorders>
              <w:top w:val="nil"/>
              <w:left w:val="nil"/>
              <w:bottom w:val="nil"/>
              <w:right w:val="nil"/>
            </w:tcBorders>
          </w:tcPr>
          <w:p w14:paraId="651A1FE4" w14:textId="77777777" w:rsidR="006F606E" w:rsidRPr="0073288C" w:rsidRDefault="006F606E" w:rsidP="00EE1B8C">
            <w:pPr>
              <w:pStyle w:val="Default"/>
              <w:rPr>
                <w:color w:val="auto"/>
                <w:sz w:val="22"/>
                <w:szCs w:val="22"/>
              </w:rPr>
            </w:pPr>
            <w:r w:rsidRPr="0073288C">
              <w:rPr>
                <w:color w:val="auto"/>
                <w:sz w:val="22"/>
                <w:szCs w:val="22"/>
              </w:rPr>
              <w:t xml:space="preserve">Inventory </w:t>
            </w:r>
          </w:p>
        </w:tc>
        <w:tc>
          <w:tcPr>
            <w:tcW w:w="1860" w:type="dxa"/>
            <w:tcBorders>
              <w:top w:val="nil"/>
              <w:left w:val="nil"/>
              <w:bottom w:val="nil"/>
              <w:right w:val="nil"/>
            </w:tcBorders>
          </w:tcPr>
          <w:p w14:paraId="651A1FE5"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200 </w:t>
            </w:r>
          </w:p>
        </w:tc>
        <w:tc>
          <w:tcPr>
            <w:tcW w:w="1860" w:type="dxa"/>
            <w:tcBorders>
              <w:top w:val="nil"/>
              <w:left w:val="nil"/>
              <w:bottom w:val="nil"/>
              <w:right w:val="nil"/>
            </w:tcBorders>
          </w:tcPr>
          <w:p w14:paraId="651A1FE6"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10 </w:t>
            </w:r>
          </w:p>
        </w:tc>
        <w:tc>
          <w:tcPr>
            <w:tcW w:w="1861" w:type="dxa"/>
            <w:tcBorders>
              <w:top w:val="nil"/>
              <w:left w:val="nil"/>
              <w:bottom w:val="nil"/>
              <w:right w:val="nil"/>
            </w:tcBorders>
          </w:tcPr>
          <w:p w14:paraId="651A1FE7"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2,000 </w:t>
            </w:r>
          </w:p>
        </w:tc>
      </w:tr>
      <w:tr w:rsidR="006F606E" w:rsidRPr="0073288C" w14:paraId="651A1FEE" w14:textId="77777777" w:rsidTr="00EE1B8C">
        <w:tc>
          <w:tcPr>
            <w:tcW w:w="1866" w:type="dxa"/>
            <w:tcBorders>
              <w:top w:val="nil"/>
              <w:left w:val="nil"/>
              <w:bottom w:val="nil"/>
              <w:right w:val="nil"/>
            </w:tcBorders>
          </w:tcPr>
          <w:p w14:paraId="651A1FE9" w14:textId="77777777" w:rsidR="006F606E" w:rsidRPr="0073288C" w:rsidRDefault="006F606E" w:rsidP="00EE1B8C">
            <w:pPr>
              <w:pStyle w:val="Default"/>
              <w:rPr>
                <w:color w:val="auto"/>
                <w:sz w:val="22"/>
                <w:szCs w:val="22"/>
              </w:rPr>
            </w:pPr>
            <w:r w:rsidRPr="0073288C">
              <w:rPr>
                <w:color w:val="auto"/>
                <w:sz w:val="22"/>
                <w:szCs w:val="22"/>
              </w:rPr>
              <w:t>February</w:t>
            </w:r>
          </w:p>
        </w:tc>
        <w:tc>
          <w:tcPr>
            <w:tcW w:w="1865" w:type="dxa"/>
            <w:tcBorders>
              <w:top w:val="nil"/>
              <w:left w:val="nil"/>
              <w:bottom w:val="nil"/>
              <w:right w:val="nil"/>
            </w:tcBorders>
          </w:tcPr>
          <w:p w14:paraId="651A1FEA" w14:textId="77777777" w:rsidR="006F606E" w:rsidRPr="0073288C" w:rsidRDefault="006F606E" w:rsidP="00EE1B8C">
            <w:pPr>
              <w:pStyle w:val="Default"/>
              <w:rPr>
                <w:color w:val="auto"/>
                <w:sz w:val="22"/>
                <w:szCs w:val="22"/>
              </w:rPr>
            </w:pPr>
            <w:r w:rsidRPr="0073288C">
              <w:rPr>
                <w:color w:val="auto"/>
                <w:sz w:val="22"/>
                <w:szCs w:val="22"/>
              </w:rPr>
              <w:t xml:space="preserve">Purchases </w:t>
            </w:r>
          </w:p>
        </w:tc>
        <w:tc>
          <w:tcPr>
            <w:tcW w:w="1860" w:type="dxa"/>
            <w:tcBorders>
              <w:top w:val="nil"/>
              <w:left w:val="nil"/>
              <w:bottom w:val="nil"/>
              <w:right w:val="nil"/>
            </w:tcBorders>
          </w:tcPr>
          <w:p w14:paraId="651A1FEB"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50 </w:t>
            </w:r>
          </w:p>
        </w:tc>
        <w:tc>
          <w:tcPr>
            <w:tcW w:w="1860" w:type="dxa"/>
            <w:tcBorders>
              <w:top w:val="nil"/>
              <w:left w:val="nil"/>
              <w:bottom w:val="nil"/>
              <w:right w:val="nil"/>
            </w:tcBorders>
          </w:tcPr>
          <w:p w14:paraId="651A1FEC"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11 </w:t>
            </w:r>
          </w:p>
        </w:tc>
        <w:tc>
          <w:tcPr>
            <w:tcW w:w="1861" w:type="dxa"/>
            <w:tcBorders>
              <w:top w:val="nil"/>
              <w:left w:val="nil"/>
              <w:bottom w:val="nil"/>
              <w:right w:val="nil"/>
            </w:tcBorders>
          </w:tcPr>
          <w:p w14:paraId="651A1FED"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550 </w:t>
            </w:r>
          </w:p>
        </w:tc>
      </w:tr>
      <w:tr w:rsidR="006F606E" w:rsidRPr="0073288C" w14:paraId="651A1FF4" w14:textId="77777777" w:rsidTr="00EE1B8C">
        <w:tc>
          <w:tcPr>
            <w:tcW w:w="1866" w:type="dxa"/>
            <w:tcBorders>
              <w:top w:val="nil"/>
              <w:left w:val="nil"/>
              <w:bottom w:val="nil"/>
              <w:right w:val="nil"/>
            </w:tcBorders>
          </w:tcPr>
          <w:p w14:paraId="651A1FEF" w14:textId="77777777" w:rsidR="006F606E" w:rsidRPr="0073288C" w:rsidRDefault="006F606E" w:rsidP="00EE1B8C">
            <w:pPr>
              <w:pStyle w:val="Default"/>
              <w:rPr>
                <w:color w:val="auto"/>
                <w:sz w:val="22"/>
                <w:szCs w:val="22"/>
              </w:rPr>
            </w:pPr>
            <w:r w:rsidRPr="0073288C">
              <w:rPr>
                <w:color w:val="auto"/>
                <w:sz w:val="22"/>
                <w:szCs w:val="22"/>
              </w:rPr>
              <w:t>June</w:t>
            </w:r>
          </w:p>
        </w:tc>
        <w:tc>
          <w:tcPr>
            <w:tcW w:w="1865" w:type="dxa"/>
            <w:tcBorders>
              <w:top w:val="nil"/>
              <w:left w:val="nil"/>
              <w:bottom w:val="nil"/>
              <w:right w:val="nil"/>
            </w:tcBorders>
          </w:tcPr>
          <w:p w14:paraId="651A1FF0" w14:textId="77777777" w:rsidR="006F606E" w:rsidRPr="0073288C" w:rsidRDefault="006F606E" w:rsidP="00EE1B8C">
            <w:pPr>
              <w:pStyle w:val="Default"/>
              <w:rPr>
                <w:color w:val="auto"/>
                <w:sz w:val="22"/>
                <w:szCs w:val="22"/>
              </w:rPr>
            </w:pPr>
            <w:r w:rsidRPr="0073288C">
              <w:rPr>
                <w:color w:val="auto"/>
                <w:sz w:val="22"/>
                <w:szCs w:val="22"/>
              </w:rPr>
              <w:t xml:space="preserve">Purchases </w:t>
            </w:r>
          </w:p>
        </w:tc>
        <w:tc>
          <w:tcPr>
            <w:tcW w:w="1860" w:type="dxa"/>
            <w:tcBorders>
              <w:top w:val="nil"/>
              <w:left w:val="nil"/>
              <w:bottom w:val="nil"/>
              <w:right w:val="nil"/>
            </w:tcBorders>
          </w:tcPr>
          <w:p w14:paraId="651A1FF1"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400 </w:t>
            </w:r>
          </w:p>
        </w:tc>
        <w:tc>
          <w:tcPr>
            <w:tcW w:w="1860" w:type="dxa"/>
            <w:tcBorders>
              <w:top w:val="nil"/>
              <w:left w:val="nil"/>
              <w:bottom w:val="nil"/>
              <w:right w:val="nil"/>
            </w:tcBorders>
          </w:tcPr>
          <w:p w14:paraId="651A1FF2"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12 </w:t>
            </w:r>
          </w:p>
        </w:tc>
        <w:tc>
          <w:tcPr>
            <w:tcW w:w="1861" w:type="dxa"/>
            <w:tcBorders>
              <w:top w:val="nil"/>
              <w:left w:val="nil"/>
              <w:bottom w:val="nil"/>
              <w:right w:val="nil"/>
            </w:tcBorders>
          </w:tcPr>
          <w:p w14:paraId="651A1FF3"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4,800 </w:t>
            </w:r>
          </w:p>
        </w:tc>
      </w:tr>
      <w:tr w:rsidR="006F606E" w:rsidRPr="0073288C" w14:paraId="651A1FFA" w14:textId="77777777" w:rsidTr="00EE1B8C">
        <w:tc>
          <w:tcPr>
            <w:tcW w:w="1866" w:type="dxa"/>
            <w:tcBorders>
              <w:top w:val="nil"/>
              <w:left w:val="nil"/>
              <w:bottom w:val="nil"/>
              <w:right w:val="nil"/>
            </w:tcBorders>
          </w:tcPr>
          <w:p w14:paraId="651A1FF5" w14:textId="77777777" w:rsidR="006F606E" w:rsidRPr="0073288C" w:rsidRDefault="006F606E" w:rsidP="00EE1B8C">
            <w:pPr>
              <w:pStyle w:val="Default"/>
              <w:rPr>
                <w:color w:val="auto"/>
                <w:sz w:val="22"/>
                <w:szCs w:val="22"/>
              </w:rPr>
            </w:pPr>
            <w:r w:rsidRPr="0073288C">
              <w:rPr>
                <w:color w:val="auto"/>
                <w:sz w:val="22"/>
                <w:szCs w:val="22"/>
              </w:rPr>
              <w:t>November</w:t>
            </w:r>
          </w:p>
        </w:tc>
        <w:tc>
          <w:tcPr>
            <w:tcW w:w="1865" w:type="dxa"/>
            <w:tcBorders>
              <w:top w:val="nil"/>
              <w:left w:val="nil"/>
              <w:bottom w:val="nil"/>
              <w:right w:val="nil"/>
            </w:tcBorders>
          </w:tcPr>
          <w:p w14:paraId="651A1FF6" w14:textId="77777777" w:rsidR="006F606E" w:rsidRPr="0073288C" w:rsidRDefault="006F606E" w:rsidP="00EE1B8C">
            <w:pPr>
              <w:pStyle w:val="Default"/>
              <w:rPr>
                <w:color w:val="auto"/>
                <w:sz w:val="22"/>
                <w:szCs w:val="22"/>
              </w:rPr>
            </w:pPr>
            <w:r w:rsidRPr="0073288C">
              <w:rPr>
                <w:color w:val="auto"/>
                <w:sz w:val="22"/>
                <w:szCs w:val="22"/>
              </w:rPr>
              <w:t xml:space="preserve">Purchases </w:t>
            </w:r>
          </w:p>
        </w:tc>
        <w:tc>
          <w:tcPr>
            <w:tcW w:w="1860" w:type="dxa"/>
            <w:tcBorders>
              <w:top w:val="nil"/>
              <w:left w:val="nil"/>
              <w:bottom w:val="single" w:sz="4" w:space="0" w:color="auto"/>
              <w:right w:val="nil"/>
            </w:tcBorders>
          </w:tcPr>
          <w:p w14:paraId="651A1FF7"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350 </w:t>
            </w:r>
          </w:p>
        </w:tc>
        <w:tc>
          <w:tcPr>
            <w:tcW w:w="1860" w:type="dxa"/>
            <w:tcBorders>
              <w:top w:val="nil"/>
              <w:left w:val="nil"/>
              <w:bottom w:val="nil"/>
              <w:right w:val="nil"/>
            </w:tcBorders>
          </w:tcPr>
          <w:p w14:paraId="651A1FF8"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14 </w:t>
            </w:r>
          </w:p>
        </w:tc>
        <w:tc>
          <w:tcPr>
            <w:tcW w:w="1861" w:type="dxa"/>
            <w:tcBorders>
              <w:top w:val="nil"/>
              <w:left w:val="nil"/>
              <w:bottom w:val="single" w:sz="4" w:space="0" w:color="auto"/>
              <w:right w:val="nil"/>
            </w:tcBorders>
          </w:tcPr>
          <w:p w14:paraId="651A1FF9" w14:textId="77777777" w:rsidR="006F606E" w:rsidRPr="0073288C" w:rsidRDefault="006F606E" w:rsidP="00EE1B8C">
            <w:pPr>
              <w:pStyle w:val="Default"/>
              <w:ind w:right="288"/>
              <w:jc w:val="right"/>
              <w:rPr>
                <w:color w:val="auto"/>
                <w:sz w:val="22"/>
                <w:szCs w:val="22"/>
              </w:rPr>
            </w:pPr>
            <w:r w:rsidRPr="0073288C">
              <w:rPr>
                <w:color w:val="auto"/>
                <w:sz w:val="22"/>
                <w:szCs w:val="22"/>
              </w:rPr>
              <w:t xml:space="preserve">4,900 </w:t>
            </w:r>
          </w:p>
        </w:tc>
      </w:tr>
      <w:tr w:rsidR="006F606E" w:rsidRPr="0073288C" w14:paraId="651A2000" w14:textId="77777777" w:rsidTr="00EE1B8C">
        <w:tc>
          <w:tcPr>
            <w:tcW w:w="1866" w:type="dxa"/>
            <w:tcBorders>
              <w:top w:val="nil"/>
              <w:left w:val="nil"/>
              <w:bottom w:val="nil"/>
              <w:right w:val="nil"/>
            </w:tcBorders>
          </w:tcPr>
          <w:p w14:paraId="651A1FFB" w14:textId="77777777" w:rsidR="006F606E" w:rsidRPr="0073288C" w:rsidRDefault="006F606E" w:rsidP="00EE1B8C">
            <w:pPr>
              <w:pStyle w:val="CM171"/>
              <w:spacing w:after="0"/>
              <w:rPr>
                <w:sz w:val="22"/>
                <w:szCs w:val="22"/>
              </w:rPr>
            </w:pPr>
          </w:p>
        </w:tc>
        <w:tc>
          <w:tcPr>
            <w:tcW w:w="1865" w:type="dxa"/>
            <w:tcBorders>
              <w:top w:val="nil"/>
              <w:left w:val="nil"/>
              <w:bottom w:val="nil"/>
              <w:right w:val="nil"/>
            </w:tcBorders>
          </w:tcPr>
          <w:p w14:paraId="651A1FFC" w14:textId="77777777" w:rsidR="006F606E" w:rsidRPr="0073288C" w:rsidRDefault="006F606E" w:rsidP="00EE1B8C">
            <w:pPr>
              <w:pStyle w:val="CM171"/>
              <w:spacing w:after="0"/>
              <w:rPr>
                <w:sz w:val="22"/>
                <w:szCs w:val="22"/>
              </w:rPr>
            </w:pPr>
          </w:p>
        </w:tc>
        <w:tc>
          <w:tcPr>
            <w:tcW w:w="1860" w:type="dxa"/>
            <w:tcBorders>
              <w:top w:val="single" w:sz="4" w:space="0" w:color="auto"/>
              <w:left w:val="nil"/>
              <w:bottom w:val="single" w:sz="4" w:space="0" w:color="auto"/>
              <w:right w:val="nil"/>
            </w:tcBorders>
          </w:tcPr>
          <w:p w14:paraId="651A1FFD" w14:textId="77777777" w:rsidR="006F606E" w:rsidRPr="0073288C" w:rsidRDefault="006F606E" w:rsidP="00EE1B8C">
            <w:pPr>
              <w:pStyle w:val="CM171"/>
              <w:spacing w:after="0"/>
              <w:ind w:right="288"/>
              <w:jc w:val="right"/>
              <w:rPr>
                <w:sz w:val="22"/>
                <w:szCs w:val="22"/>
              </w:rPr>
            </w:pPr>
            <w:r w:rsidRPr="0073288C">
              <w:rPr>
                <w:sz w:val="22"/>
                <w:szCs w:val="22"/>
              </w:rPr>
              <w:t xml:space="preserve">1,000 </w:t>
            </w:r>
          </w:p>
        </w:tc>
        <w:tc>
          <w:tcPr>
            <w:tcW w:w="1860" w:type="dxa"/>
            <w:tcBorders>
              <w:top w:val="nil"/>
              <w:left w:val="nil"/>
              <w:bottom w:val="nil"/>
              <w:right w:val="nil"/>
            </w:tcBorders>
          </w:tcPr>
          <w:p w14:paraId="651A1FFE" w14:textId="77777777" w:rsidR="006F606E" w:rsidRPr="0073288C" w:rsidRDefault="006F606E" w:rsidP="00EE1B8C">
            <w:pPr>
              <w:pStyle w:val="CM171"/>
              <w:spacing w:after="0"/>
              <w:ind w:right="288"/>
              <w:jc w:val="right"/>
              <w:rPr>
                <w:sz w:val="22"/>
                <w:szCs w:val="22"/>
              </w:rPr>
            </w:pPr>
          </w:p>
        </w:tc>
        <w:tc>
          <w:tcPr>
            <w:tcW w:w="1861" w:type="dxa"/>
            <w:tcBorders>
              <w:top w:val="single" w:sz="4" w:space="0" w:color="auto"/>
              <w:left w:val="nil"/>
              <w:bottom w:val="single" w:sz="4" w:space="0" w:color="auto"/>
              <w:right w:val="nil"/>
            </w:tcBorders>
          </w:tcPr>
          <w:p w14:paraId="651A1FFF" w14:textId="77777777" w:rsidR="006F606E" w:rsidRPr="0073288C" w:rsidRDefault="006F606E" w:rsidP="00EE1B8C">
            <w:pPr>
              <w:pStyle w:val="CM171"/>
              <w:spacing w:after="0"/>
              <w:ind w:right="288"/>
              <w:jc w:val="right"/>
              <w:rPr>
                <w:sz w:val="22"/>
                <w:szCs w:val="22"/>
              </w:rPr>
            </w:pPr>
            <w:r w:rsidRPr="0073288C">
              <w:rPr>
                <w:sz w:val="22"/>
                <w:szCs w:val="22"/>
              </w:rPr>
              <w:t>12,250</w:t>
            </w:r>
          </w:p>
        </w:tc>
      </w:tr>
    </w:tbl>
    <w:p w14:paraId="651A2001" w14:textId="77777777" w:rsidR="006F606E" w:rsidRPr="0073288C" w:rsidRDefault="006F606E" w:rsidP="003D02A4">
      <w:pPr>
        <w:pStyle w:val="Text1"/>
      </w:pPr>
    </w:p>
    <w:p w14:paraId="651A2002" w14:textId="77777777" w:rsidR="006F606E" w:rsidRDefault="006F606E" w:rsidP="003D02A4">
      <w:pPr>
        <w:pStyle w:val="Text1"/>
      </w:pPr>
      <w:r>
        <w:rPr>
          <w:b/>
          <w:bCs/>
        </w:rPr>
        <w:t xml:space="preserve">Physical inventory at 12/31/XX </w:t>
      </w:r>
      <w:r>
        <w:t>= 400 units</w:t>
      </w:r>
    </w:p>
    <w:p w14:paraId="651A2003" w14:textId="77777777" w:rsidR="006F606E" w:rsidRDefault="006F606E" w:rsidP="003D02A4">
      <w:pPr>
        <w:pStyle w:val="Text1"/>
      </w:pPr>
      <w:r>
        <w:rPr>
          <w:b/>
          <w:bCs/>
        </w:rPr>
        <w:t>Weighted average cost per unit:</w:t>
      </w:r>
      <w:r>
        <w:t xml:space="preserve"> 12,250/1,000 = 12.25</w:t>
      </w:r>
    </w:p>
    <w:p w14:paraId="651A2004" w14:textId="77777777" w:rsidR="006F606E" w:rsidRDefault="006F606E" w:rsidP="003D02A4">
      <w:pPr>
        <w:pStyle w:val="Text1"/>
      </w:pPr>
      <w:r>
        <w:rPr>
          <w:b/>
          <w:bCs/>
        </w:rPr>
        <w:t>Weighted average inventory at 12/31/XX:</w:t>
      </w:r>
      <w:r>
        <w:t xml:space="preserve"> 400 x 12.25 = 4,900</w:t>
      </w:r>
    </w:p>
    <w:p w14:paraId="651A2005" w14:textId="77777777" w:rsidR="006F606E" w:rsidRDefault="006F606E" w:rsidP="003D02A4">
      <w:pPr>
        <w:pStyle w:val="Text1"/>
      </w:pPr>
      <w:r>
        <w:rPr>
          <w:b/>
          <w:bCs/>
        </w:rPr>
        <w:t>Cost of sales for 20XX:</w:t>
      </w:r>
      <w:r>
        <w:t xml:space="preserve"> 12,250 – 4,900 = 7,350</w:t>
      </w:r>
    </w:p>
    <w:p w14:paraId="651A2006" w14:textId="77777777" w:rsidR="006F606E" w:rsidRDefault="006F606E" w:rsidP="007A782A">
      <w:pPr>
        <w:pStyle w:val="Text1"/>
      </w:pPr>
    </w:p>
    <w:p w14:paraId="651A2007" w14:textId="77777777" w:rsidR="006F606E" w:rsidRDefault="006F606E" w:rsidP="007A782A">
      <w:pPr>
        <w:pStyle w:val="Text1"/>
        <w:sectPr w:rsidR="006F60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656" w:header="720" w:footer="720" w:gutter="0"/>
          <w:pgNumType w:start="1"/>
          <w:cols w:space="720"/>
          <w:noEndnote/>
        </w:sectPr>
      </w:pPr>
    </w:p>
    <w:p w14:paraId="651A2008" w14:textId="77777777" w:rsidR="006F606E" w:rsidRPr="00941B3A" w:rsidRDefault="006F606E" w:rsidP="00934C5C">
      <w:pPr>
        <w:pStyle w:val="TOCHead"/>
      </w:pPr>
    </w:p>
    <w:sectPr w:rsidR="006F606E" w:rsidRPr="00941B3A" w:rsidSect="00E44D1E">
      <w:headerReference w:type="default" r:id="rId18"/>
      <w:type w:val="continuous"/>
      <w:pgSz w:w="12240" w:h="15840"/>
      <w:pgMar w:top="245" w:right="1440" w:bottom="1008"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A200B" w14:textId="77777777" w:rsidR="006F606E" w:rsidRPr="00847423" w:rsidRDefault="006F606E" w:rsidP="00847423">
      <w:pPr>
        <w:spacing w:after="0" w:line="240" w:lineRule="auto"/>
        <w:rPr>
          <w:rFonts w:ascii="Calibri" w:hAnsi="Calibri"/>
        </w:rPr>
      </w:pPr>
      <w:r>
        <w:separator/>
      </w:r>
    </w:p>
  </w:endnote>
  <w:endnote w:type="continuationSeparator" w:id="0">
    <w:p w14:paraId="651A200C" w14:textId="77777777" w:rsidR="006F606E" w:rsidRPr="00847423" w:rsidRDefault="006F606E"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D5808" w14:textId="77777777" w:rsidR="00190C60" w:rsidRDefault="00190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2023" w14:textId="77777777" w:rsidR="006F606E" w:rsidRDefault="004D6C80">
    <w:pPr>
      <w:pStyle w:val="Footer"/>
      <w:jc w:val="right"/>
    </w:pPr>
    <w:r>
      <w:fldChar w:fldCharType="begin"/>
    </w:r>
    <w:r>
      <w:instrText xml:space="preserve"> PAGE   \* MERGEFORMAT </w:instrText>
    </w:r>
    <w:r>
      <w:fldChar w:fldCharType="separate"/>
    </w:r>
    <w:r w:rsidR="009445B5">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C6AE7" w14:textId="77777777" w:rsidR="00190C60" w:rsidRDefault="00190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A2009" w14:textId="77777777" w:rsidR="006F606E" w:rsidRPr="00847423" w:rsidRDefault="006F606E" w:rsidP="00847423">
      <w:pPr>
        <w:spacing w:after="0" w:line="240" w:lineRule="auto"/>
        <w:rPr>
          <w:rFonts w:ascii="Calibri" w:hAnsi="Calibri"/>
        </w:rPr>
      </w:pPr>
      <w:r>
        <w:separator/>
      </w:r>
    </w:p>
  </w:footnote>
  <w:footnote w:type="continuationSeparator" w:id="0">
    <w:p w14:paraId="651A200A" w14:textId="77777777" w:rsidR="006F606E" w:rsidRPr="00847423" w:rsidRDefault="006F606E"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6A4F7" w14:textId="77777777" w:rsidR="00190C60" w:rsidRDefault="00190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3" w:type="pct"/>
      <w:tblInd w:w="-106" w:type="dxa"/>
      <w:tblLook w:val="0000" w:firstRow="0" w:lastRow="0" w:firstColumn="0" w:lastColumn="0" w:noHBand="0" w:noVBand="0"/>
    </w:tblPr>
    <w:tblGrid>
      <w:gridCol w:w="2466"/>
      <w:gridCol w:w="2840"/>
      <w:gridCol w:w="1517"/>
      <w:gridCol w:w="1074"/>
      <w:gridCol w:w="1225"/>
    </w:tblGrid>
    <w:tr w:rsidR="006F606E" w14:paraId="651A200F" w14:textId="77777777" w:rsidTr="00D90B7E">
      <w:trPr>
        <w:cantSplit/>
        <w:trHeight w:val="742"/>
      </w:trPr>
      <w:tc>
        <w:tcPr>
          <w:tcW w:w="2466" w:type="dxa"/>
          <w:vMerge w:val="restart"/>
          <w:tcBorders>
            <w:top w:val="double" w:sz="4" w:space="0" w:color="000000"/>
            <w:left w:val="double" w:sz="4" w:space="0" w:color="000000"/>
            <w:bottom w:val="nil"/>
            <w:right w:val="single" w:sz="4" w:space="0" w:color="000000"/>
          </w:tcBorders>
          <w:vAlign w:val="center"/>
        </w:tcPr>
        <w:p w14:paraId="651A200D" w14:textId="77777777" w:rsidR="006F606E" w:rsidRDefault="006F606E">
          <w:pPr>
            <w:pStyle w:val="Default"/>
            <w:jc w:val="center"/>
            <w:rPr>
              <w:b/>
              <w:bCs/>
              <w:color w:val="auto"/>
            </w:rPr>
          </w:pPr>
          <w:r>
            <w:rPr>
              <w:b/>
              <w:bCs/>
              <w:color w:val="auto"/>
            </w:rPr>
            <w:t>107.0</w:t>
          </w:r>
        </w:p>
      </w:tc>
      <w:tc>
        <w:tcPr>
          <w:tcW w:w="6656" w:type="dxa"/>
          <w:gridSpan w:val="4"/>
          <w:tcBorders>
            <w:top w:val="double" w:sz="4" w:space="0" w:color="000000"/>
            <w:left w:val="single" w:sz="4" w:space="0" w:color="000000"/>
            <w:bottom w:val="single" w:sz="4" w:space="0" w:color="000000"/>
            <w:right w:val="double" w:sz="4" w:space="0" w:color="000000"/>
          </w:tcBorders>
          <w:vAlign w:val="center"/>
        </w:tcPr>
        <w:p w14:paraId="651A200E" w14:textId="77777777" w:rsidR="006F606E" w:rsidRDefault="006F606E">
          <w:pPr>
            <w:pStyle w:val="Default"/>
            <w:jc w:val="center"/>
            <w:rPr>
              <w:b/>
              <w:bCs/>
              <w:sz w:val="22"/>
              <w:szCs w:val="22"/>
            </w:rPr>
          </w:pPr>
          <w:r>
            <w:rPr>
              <w:b/>
              <w:bCs/>
              <w:sz w:val="22"/>
              <w:szCs w:val="22"/>
            </w:rPr>
            <w:t>INTERNATIONAL FINANCIAL REPORTING STANDARDS</w:t>
          </w:r>
        </w:p>
      </w:tc>
    </w:tr>
    <w:tr w:rsidR="006F606E" w14:paraId="651A2015" w14:textId="77777777" w:rsidTr="00D90B7E">
      <w:trPr>
        <w:cantSplit/>
        <w:trHeight w:val="355"/>
      </w:trPr>
      <w:tc>
        <w:tcPr>
          <w:tcW w:w="2466" w:type="dxa"/>
          <w:vMerge/>
          <w:tcBorders>
            <w:top w:val="nil"/>
            <w:left w:val="double" w:sz="4" w:space="0" w:color="000000"/>
            <w:bottom w:val="nil"/>
            <w:right w:val="single" w:sz="4" w:space="0" w:color="000000"/>
          </w:tcBorders>
        </w:tcPr>
        <w:p w14:paraId="651A2010" w14:textId="77777777" w:rsidR="006F606E" w:rsidRDefault="006F606E">
          <w:pPr>
            <w:pStyle w:val="Default"/>
            <w:rPr>
              <w:color w:val="auto"/>
            </w:rPr>
          </w:pPr>
        </w:p>
      </w:tc>
      <w:tc>
        <w:tcPr>
          <w:tcW w:w="2840" w:type="dxa"/>
          <w:vMerge w:val="restart"/>
          <w:tcBorders>
            <w:top w:val="single" w:sz="4" w:space="0" w:color="000000"/>
            <w:left w:val="single" w:sz="4" w:space="0" w:color="000000"/>
            <w:bottom w:val="nil"/>
            <w:right w:val="single" w:sz="6" w:space="0" w:color="000000"/>
          </w:tcBorders>
          <w:vAlign w:val="center"/>
        </w:tcPr>
        <w:p w14:paraId="651A2011" w14:textId="77777777" w:rsidR="006F606E" w:rsidRDefault="006F606E">
          <w:pPr>
            <w:pStyle w:val="Default"/>
            <w:jc w:val="center"/>
            <w:rPr>
              <w:sz w:val="22"/>
              <w:szCs w:val="22"/>
            </w:rPr>
          </w:pPr>
          <w:r>
            <w:rPr>
              <w:b/>
              <w:bCs/>
              <w:sz w:val="22"/>
              <w:szCs w:val="22"/>
            </w:rPr>
            <w:t>ACCOUNTING MANUAL</w:t>
          </w:r>
        </w:p>
      </w:tc>
      <w:tc>
        <w:tcPr>
          <w:tcW w:w="1517" w:type="dxa"/>
          <w:tcBorders>
            <w:top w:val="single" w:sz="6" w:space="0" w:color="000000"/>
            <w:left w:val="single" w:sz="6" w:space="0" w:color="000000"/>
            <w:bottom w:val="single" w:sz="4" w:space="0" w:color="auto"/>
            <w:right w:val="single" w:sz="4" w:space="0" w:color="auto"/>
          </w:tcBorders>
          <w:vAlign w:val="center"/>
        </w:tcPr>
        <w:p w14:paraId="651A2012" w14:textId="77777777" w:rsidR="006F606E" w:rsidRDefault="006F606E">
          <w:pPr>
            <w:pStyle w:val="Default"/>
            <w:jc w:val="center"/>
            <w:rPr>
              <w:b/>
              <w:bCs/>
              <w:sz w:val="22"/>
              <w:szCs w:val="22"/>
            </w:rPr>
          </w:pPr>
          <w:r>
            <w:rPr>
              <w:b/>
              <w:bCs/>
              <w:sz w:val="22"/>
              <w:szCs w:val="22"/>
            </w:rPr>
            <w:t>SECTION</w:t>
          </w:r>
        </w:p>
      </w:tc>
      <w:tc>
        <w:tcPr>
          <w:tcW w:w="1074" w:type="dxa"/>
          <w:tcBorders>
            <w:top w:val="single" w:sz="6" w:space="0" w:color="000000"/>
            <w:left w:val="single" w:sz="4" w:space="0" w:color="auto"/>
            <w:bottom w:val="single" w:sz="4" w:space="0" w:color="auto"/>
            <w:right w:val="single" w:sz="4" w:space="0" w:color="auto"/>
          </w:tcBorders>
          <w:vAlign w:val="center"/>
        </w:tcPr>
        <w:p w14:paraId="651A2013" w14:textId="77777777" w:rsidR="006F606E" w:rsidRDefault="006F606E">
          <w:pPr>
            <w:pStyle w:val="Default"/>
            <w:jc w:val="center"/>
            <w:rPr>
              <w:b/>
              <w:bCs/>
              <w:sz w:val="22"/>
              <w:szCs w:val="22"/>
            </w:rPr>
          </w:pPr>
          <w:r>
            <w:rPr>
              <w:b/>
              <w:bCs/>
              <w:sz w:val="22"/>
              <w:szCs w:val="22"/>
            </w:rPr>
            <w:t>Topic</w:t>
          </w:r>
        </w:p>
      </w:tc>
      <w:tc>
        <w:tcPr>
          <w:tcW w:w="1225" w:type="dxa"/>
          <w:tcBorders>
            <w:top w:val="single" w:sz="6" w:space="0" w:color="000000"/>
            <w:left w:val="single" w:sz="4" w:space="0" w:color="auto"/>
            <w:bottom w:val="single" w:sz="4" w:space="0" w:color="auto"/>
            <w:right w:val="double" w:sz="6" w:space="0" w:color="000000"/>
          </w:tcBorders>
          <w:vAlign w:val="center"/>
        </w:tcPr>
        <w:p w14:paraId="651A2014" w14:textId="77777777" w:rsidR="006F606E" w:rsidRDefault="006F606E">
          <w:pPr>
            <w:pStyle w:val="Default"/>
            <w:jc w:val="center"/>
            <w:rPr>
              <w:b/>
              <w:bCs/>
              <w:sz w:val="22"/>
              <w:szCs w:val="22"/>
            </w:rPr>
          </w:pPr>
          <w:r>
            <w:rPr>
              <w:b/>
              <w:bCs/>
              <w:sz w:val="22"/>
              <w:szCs w:val="22"/>
            </w:rPr>
            <w:t>7</w:t>
          </w:r>
        </w:p>
      </w:tc>
    </w:tr>
    <w:tr w:rsidR="006F606E" w14:paraId="651A2019" w14:textId="77777777" w:rsidTr="00D90B7E">
      <w:trPr>
        <w:cantSplit/>
        <w:trHeight w:val="420"/>
      </w:trPr>
      <w:tc>
        <w:tcPr>
          <w:tcW w:w="2466" w:type="dxa"/>
          <w:vMerge/>
          <w:tcBorders>
            <w:top w:val="nil"/>
            <w:left w:val="double" w:sz="4" w:space="0" w:color="000000"/>
            <w:bottom w:val="single" w:sz="4" w:space="0" w:color="auto"/>
            <w:right w:val="single" w:sz="4" w:space="0" w:color="000000"/>
          </w:tcBorders>
        </w:tcPr>
        <w:p w14:paraId="651A2016" w14:textId="77777777" w:rsidR="006F606E" w:rsidRDefault="006F606E">
          <w:pPr>
            <w:pStyle w:val="Default"/>
            <w:rPr>
              <w:color w:val="auto"/>
            </w:rPr>
          </w:pPr>
        </w:p>
      </w:tc>
      <w:tc>
        <w:tcPr>
          <w:tcW w:w="2840" w:type="dxa"/>
          <w:vMerge/>
          <w:tcBorders>
            <w:top w:val="single" w:sz="4" w:space="0" w:color="000000"/>
            <w:left w:val="single" w:sz="4" w:space="0" w:color="000000"/>
            <w:bottom w:val="nil"/>
            <w:right w:val="single" w:sz="6" w:space="0" w:color="000000"/>
          </w:tcBorders>
          <w:vAlign w:val="center"/>
        </w:tcPr>
        <w:p w14:paraId="651A2017" w14:textId="77777777" w:rsidR="006F606E" w:rsidRDefault="006F606E">
          <w:pPr>
            <w:pStyle w:val="Default"/>
            <w:jc w:val="center"/>
            <w:rPr>
              <w:b/>
              <w:bCs/>
              <w:sz w:val="22"/>
              <w:szCs w:val="22"/>
            </w:rPr>
          </w:pPr>
        </w:p>
      </w:tc>
      <w:tc>
        <w:tcPr>
          <w:tcW w:w="3816" w:type="dxa"/>
          <w:gridSpan w:val="3"/>
          <w:vMerge w:val="restart"/>
          <w:tcBorders>
            <w:top w:val="single" w:sz="4" w:space="0" w:color="auto"/>
            <w:left w:val="single" w:sz="6" w:space="0" w:color="000000"/>
            <w:bottom w:val="nil"/>
            <w:right w:val="double" w:sz="6" w:space="0" w:color="000000"/>
          </w:tcBorders>
          <w:vAlign w:val="center"/>
        </w:tcPr>
        <w:p w14:paraId="651A2018" w14:textId="77777777" w:rsidR="006F606E" w:rsidRDefault="006F606E">
          <w:pPr>
            <w:pStyle w:val="Default"/>
            <w:jc w:val="center"/>
            <w:rPr>
              <w:b/>
              <w:bCs/>
            </w:rPr>
          </w:pPr>
          <w:r>
            <w:rPr>
              <w:b/>
              <w:bCs/>
            </w:rPr>
            <w:t>Inventories</w:t>
          </w:r>
        </w:p>
      </w:tc>
    </w:tr>
    <w:tr w:rsidR="006F606E" w14:paraId="651A201D" w14:textId="77777777" w:rsidTr="00D90B7E">
      <w:trPr>
        <w:cantSplit/>
        <w:trHeight w:val="426"/>
      </w:trPr>
      <w:tc>
        <w:tcPr>
          <w:tcW w:w="2466" w:type="dxa"/>
          <w:vMerge w:val="restart"/>
          <w:tcBorders>
            <w:top w:val="single" w:sz="4" w:space="0" w:color="auto"/>
            <w:left w:val="double" w:sz="4" w:space="0" w:color="000000"/>
            <w:bottom w:val="nil"/>
            <w:right w:val="single" w:sz="4" w:space="0" w:color="000000"/>
          </w:tcBorders>
        </w:tcPr>
        <w:p w14:paraId="651A201A" w14:textId="77777777" w:rsidR="006F606E" w:rsidRDefault="006F606E">
          <w:pPr>
            <w:pStyle w:val="Default"/>
            <w:spacing w:before="120"/>
            <w:jc w:val="center"/>
            <w:rPr>
              <w:b/>
              <w:bCs/>
              <w:color w:val="auto"/>
            </w:rPr>
          </w:pPr>
          <w:r>
            <w:rPr>
              <w:b/>
              <w:bCs/>
              <w:color w:val="auto"/>
            </w:rPr>
            <w:t>FINANCIAL</w:t>
          </w:r>
          <w:r>
            <w:rPr>
              <w:b/>
              <w:bCs/>
              <w:color w:val="auto"/>
            </w:rPr>
            <w:br/>
            <w:t>MANUAL</w:t>
          </w:r>
        </w:p>
      </w:tc>
      <w:tc>
        <w:tcPr>
          <w:tcW w:w="2840" w:type="dxa"/>
          <w:vMerge/>
          <w:tcBorders>
            <w:top w:val="nil"/>
            <w:left w:val="single" w:sz="4" w:space="0" w:color="000000"/>
            <w:bottom w:val="nil"/>
            <w:right w:val="single" w:sz="6" w:space="0" w:color="000000"/>
          </w:tcBorders>
          <w:vAlign w:val="center"/>
        </w:tcPr>
        <w:p w14:paraId="651A201B" w14:textId="77777777" w:rsidR="006F606E" w:rsidRDefault="006F606E">
          <w:pPr>
            <w:pStyle w:val="Default"/>
            <w:jc w:val="center"/>
            <w:rPr>
              <w:b/>
              <w:bCs/>
              <w:sz w:val="22"/>
              <w:szCs w:val="22"/>
            </w:rPr>
          </w:pPr>
        </w:p>
      </w:tc>
      <w:tc>
        <w:tcPr>
          <w:tcW w:w="3816" w:type="dxa"/>
          <w:gridSpan w:val="3"/>
          <w:vMerge/>
          <w:tcBorders>
            <w:top w:val="nil"/>
            <w:left w:val="single" w:sz="6" w:space="0" w:color="000000"/>
            <w:bottom w:val="single" w:sz="4" w:space="0" w:color="000000"/>
            <w:right w:val="double" w:sz="6" w:space="0" w:color="000000"/>
          </w:tcBorders>
        </w:tcPr>
        <w:p w14:paraId="651A201C" w14:textId="77777777" w:rsidR="006F606E" w:rsidRDefault="006F606E">
          <w:pPr>
            <w:pStyle w:val="Default"/>
            <w:jc w:val="center"/>
            <w:rPr>
              <w:b/>
              <w:bCs/>
              <w:sz w:val="22"/>
              <w:szCs w:val="22"/>
            </w:rPr>
          </w:pPr>
        </w:p>
      </w:tc>
    </w:tr>
    <w:tr w:rsidR="006F606E" w14:paraId="651A2021" w14:textId="77777777" w:rsidTr="00D90B7E">
      <w:trPr>
        <w:cantSplit/>
        <w:trHeight w:val="296"/>
      </w:trPr>
      <w:tc>
        <w:tcPr>
          <w:tcW w:w="2466" w:type="dxa"/>
          <w:vMerge/>
          <w:tcBorders>
            <w:top w:val="nil"/>
            <w:left w:val="double" w:sz="4" w:space="0" w:color="000000"/>
            <w:bottom w:val="nil"/>
            <w:right w:val="single" w:sz="4" w:space="0" w:color="000000"/>
          </w:tcBorders>
        </w:tcPr>
        <w:p w14:paraId="651A201E" w14:textId="77777777" w:rsidR="006F606E" w:rsidRDefault="006F606E">
          <w:pPr>
            <w:pStyle w:val="Default"/>
            <w:rPr>
              <w:color w:val="auto"/>
            </w:rPr>
          </w:pPr>
        </w:p>
      </w:tc>
      <w:tc>
        <w:tcPr>
          <w:tcW w:w="2840" w:type="dxa"/>
          <w:vMerge/>
          <w:tcBorders>
            <w:top w:val="nil"/>
            <w:left w:val="single" w:sz="4" w:space="0" w:color="000000"/>
            <w:bottom w:val="nil"/>
            <w:right w:val="single" w:sz="4" w:space="0" w:color="000000"/>
          </w:tcBorders>
          <w:vAlign w:val="center"/>
        </w:tcPr>
        <w:p w14:paraId="651A201F" w14:textId="77777777" w:rsidR="006F606E" w:rsidRDefault="006F606E">
          <w:pPr>
            <w:pStyle w:val="Default"/>
            <w:rPr>
              <w:color w:val="auto"/>
            </w:rPr>
          </w:pPr>
        </w:p>
      </w:tc>
      <w:tc>
        <w:tcPr>
          <w:tcW w:w="3816" w:type="dxa"/>
          <w:gridSpan w:val="3"/>
          <w:tcBorders>
            <w:top w:val="single" w:sz="4" w:space="0" w:color="000000"/>
            <w:left w:val="single" w:sz="4" w:space="0" w:color="000000"/>
            <w:bottom w:val="single" w:sz="4" w:space="0" w:color="000000"/>
            <w:right w:val="double" w:sz="4" w:space="0" w:color="000000"/>
          </w:tcBorders>
          <w:vAlign w:val="center"/>
        </w:tcPr>
        <w:p w14:paraId="651A2020" w14:textId="3C406579" w:rsidR="006F606E" w:rsidRDefault="00D90B7E">
          <w:pPr>
            <w:pStyle w:val="Default"/>
            <w:jc w:val="center"/>
            <w:rPr>
              <w:b/>
              <w:bCs/>
              <w:sz w:val="20"/>
              <w:szCs w:val="20"/>
            </w:rPr>
          </w:pPr>
          <w:r>
            <w:rPr>
              <w:b/>
              <w:bCs/>
              <w:sz w:val="20"/>
              <w:szCs w:val="20"/>
            </w:rPr>
            <w:t>December 2013 – Version 1.1</w:t>
          </w:r>
        </w:p>
      </w:tc>
    </w:tr>
    <w:tr w:rsidR="00D90B7E" w14:paraId="10E52D15" w14:textId="77777777" w:rsidTr="00D90B7E">
      <w:trPr>
        <w:cantSplit/>
        <w:trHeight w:val="296"/>
      </w:trPr>
      <w:tc>
        <w:tcPr>
          <w:tcW w:w="2466" w:type="dxa"/>
          <w:tcBorders>
            <w:top w:val="nil"/>
            <w:left w:val="double" w:sz="4" w:space="0" w:color="000000"/>
            <w:bottom w:val="double" w:sz="4" w:space="0" w:color="000000"/>
            <w:right w:val="single" w:sz="4" w:space="0" w:color="000000"/>
          </w:tcBorders>
        </w:tcPr>
        <w:p w14:paraId="76D82FA4" w14:textId="77777777" w:rsidR="00D90B7E" w:rsidRDefault="00D90B7E">
          <w:pPr>
            <w:pStyle w:val="Default"/>
            <w:rPr>
              <w:color w:val="auto"/>
            </w:rPr>
          </w:pPr>
        </w:p>
      </w:tc>
      <w:tc>
        <w:tcPr>
          <w:tcW w:w="2840" w:type="dxa"/>
          <w:tcBorders>
            <w:top w:val="nil"/>
            <w:left w:val="single" w:sz="4" w:space="0" w:color="000000"/>
            <w:bottom w:val="double" w:sz="4" w:space="0" w:color="000000"/>
            <w:right w:val="single" w:sz="4" w:space="0" w:color="000000"/>
          </w:tcBorders>
          <w:vAlign w:val="center"/>
        </w:tcPr>
        <w:p w14:paraId="5EA892B3" w14:textId="77777777" w:rsidR="00D90B7E" w:rsidRDefault="00D90B7E">
          <w:pPr>
            <w:pStyle w:val="Default"/>
            <w:rPr>
              <w:color w:val="auto"/>
            </w:rPr>
          </w:pPr>
        </w:p>
      </w:tc>
      <w:tc>
        <w:tcPr>
          <w:tcW w:w="3816" w:type="dxa"/>
          <w:gridSpan w:val="3"/>
          <w:tcBorders>
            <w:top w:val="single" w:sz="4" w:space="0" w:color="000000"/>
            <w:left w:val="single" w:sz="4" w:space="0" w:color="000000"/>
            <w:bottom w:val="double" w:sz="4" w:space="0" w:color="000000"/>
            <w:right w:val="double" w:sz="4" w:space="0" w:color="000000"/>
          </w:tcBorders>
          <w:vAlign w:val="center"/>
        </w:tcPr>
        <w:p w14:paraId="0410BB11" w14:textId="27270DC8" w:rsidR="00D90B7E" w:rsidRDefault="00D90B7E" w:rsidP="009445B5">
          <w:pPr>
            <w:pStyle w:val="Default"/>
            <w:jc w:val="center"/>
            <w:rPr>
              <w:b/>
              <w:bCs/>
              <w:sz w:val="20"/>
              <w:szCs w:val="20"/>
            </w:rPr>
          </w:pPr>
          <w:r>
            <w:rPr>
              <w:b/>
              <w:bCs/>
              <w:sz w:val="20"/>
              <w:szCs w:val="20"/>
            </w:rPr>
            <w:t>Last Reviewed: December 201</w:t>
          </w:r>
          <w:r w:rsidR="009445B5">
            <w:rPr>
              <w:b/>
              <w:bCs/>
              <w:sz w:val="20"/>
              <w:szCs w:val="20"/>
            </w:rPr>
            <w:t>8</w:t>
          </w:r>
        </w:p>
      </w:tc>
    </w:tr>
  </w:tbl>
  <w:p w14:paraId="651A2022" w14:textId="77777777" w:rsidR="006F606E" w:rsidRDefault="006F60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4E942" w14:textId="77777777" w:rsidR="00190C60" w:rsidRDefault="00190C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2024" w14:textId="77777777" w:rsidR="006F606E" w:rsidRPr="001735CE" w:rsidRDefault="006F606E" w:rsidP="00173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0349C"/>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735CE"/>
    <w:rsid w:val="0018212A"/>
    <w:rsid w:val="001845E1"/>
    <w:rsid w:val="00184AEA"/>
    <w:rsid w:val="00184D3A"/>
    <w:rsid w:val="00185F1E"/>
    <w:rsid w:val="00186C94"/>
    <w:rsid w:val="00190698"/>
    <w:rsid w:val="00190C60"/>
    <w:rsid w:val="0019227B"/>
    <w:rsid w:val="00192E0C"/>
    <w:rsid w:val="001A1115"/>
    <w:rsid w:val="001A1DDD"/>
    <w:rsid w:val="001A2CE1"/>
    <w:rsid w:val="001A4A33"/>
    <w:rsid w:val="001A6E4B"/>
    <w:rsid w:val="001B2146"/>
    <w:rsid w:val="001B39E8"/>
    <w:rsid w:val="001B472F"/>
    <w:rsid w:val="001B4A3C"/>
    <w:rsid w:val="001B62A4"/>
    <w:rsid w:val="001C0CC6"/>
    <w:rsid w:val="001C0FBD"/>
    <w:rsid w:val="001C17AC"/>
    <w:rsid w:val="001C2544"/>
    <w:rsid w:val="001C3E97"/>
    <w:rsid w:val="001C4321"/>
    <w:rsid w:val="001C63EE"/>
    <w:rsid w:val="001C7069"/>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33B"/>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3F6450"/>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5B63"/>
    <w:rsid w:val="004D6BA4"/>
    <w:rsid w:val="004D6C80"/>
    <w:rsid w:val="004D7A1B"/>
    <w:rsid w:val="004E00D4"/>
    <w:rsid w:val="004E01E8"/>
    <w:rsid w:val="004E0719"/>
    <w:rsid w:val="004E1A04"/>
    <w:rsid w:val="004E2A45"/>
    <w:rsid w:val="004E3B71"/>
    <w:rsid w:val="004E4609"/>
    <w:rsid w:val="004E7386"/>
    <w:rsid w:val="004E79E6"/>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1482"/>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6F606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3AB3"/>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5665"/>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4C5C"/>
    <w:rsid w:val="00935B98"/>
    <w:rsid w:val="009378A7"/>
    <w:rsid w:val="00941B3A"/>
    <w:rsid w:val="00944002"/>
    <w:rsid w:val="009445B5"/>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0C10"/>
    <w:rsid w:val="00B12073"/>
    <w:rsid w:val="00B1653B"/>
    <w:rsid w:val="00B1799E"/>
    <w:rsid w:val="00B21986"/>
    <w:rsid w:val="00B23419"/>
    <w:rsid w:val="00B24968"/>
    <w:rsid w:val="00B25528"/>
    <w:rsid w:val="00B25FD8"/>
    <w:rsid w:val="00B3033A"/>
    <w:rsid w:val="00B3038F"/>
    <w:rsid w:val="00B307B4"/>
    <w:rsid w:val="00B33E07"/>
    <w:rsid w:val="00B342E1"/>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A33E4"/>
    <w:rsid w:val="00BB150B"/>
    <w:rsid w:val="00BB412C"/>
    <w:rsid w:val="00BB5242"/>
    <w:rsid w:val="00BB61B8"/>
    <w:rsid w:val="00BB621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8B1"/>
    <w:rsid w:val="00D81AA1"/>
    <w:rsid w:val="00D83B15"/>
    <w:rsid w:val="00D84F68"/>
    <w:rsid w:val="00D85501"/>
    <w:rsid w:val="00D90B7E"/>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4D1E"/>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5F5E"/>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835"/>
    <w:rsid w:val="00EE1B8C"/>
    <w:rsid w:val="00EE2AA0"/>
    <w:rsid w:val="00EE51CB"/>
    <w:rsid w:val="00EF1109"/>
    <w:rsid w:val="00EF59EA"/>
    <w:rsid w:val="00EF7D71"/>
    <w:rsid w:val="00F00A9D"/>
    <w:rsid w:val="00F01D07"/>
    <w:rsid w:val="00F06AD8"/>
    <w:rsid w:val="00F07F85"/>
    <w:rsid w:val="00F120F9"/>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963CD"/>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51A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69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20857-D75F-442E-8619-6F49ECA499DD}">
  <ds:schemaRefs>
    <ds:schemaRef ds:uri="http://schemas.microsoft.com/office/2006/metadata/properties"/>
    <ds:schemaRef ds:uri="6bbfadf9-d801-40f2-a897-3bb0ed128290"/>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28597d9-4282-4247-a4e8-f559f7eb4505"/>
    <ds:schemaRef ds:uri="0e17a363-e013-437b-9a95-505d1cd007fa"/>
    <ds:schemaRef ds:uri="1c64f3ea-64b2-4ba4-83e2-f0639d8ebc0b"/>
  </ds:schemaRefs>
</ds:datastoreItem>
</file>

<file path=customXml/itemProps2.xml><?xml version="1.0" encoding="utf-8"?>
<ds:datastoreItem xmlns:ds="http://schemas.openxmlformats.org/officeDocument/2006/customXml" ds:itemID="{B90A452F-18DA-4DC3-91E2-0F7BE04F0F83}">
  <ds:schemaRefs>
    <ds:schemaRef ds:uri="http://schemas.microsoft.com/sharepoint/v3/contenttype/forms"/>
  </ds:schemaRefs>
</ds:datastoreItem>
</file>

<file path=customXml/itemProps3.xml><?xml version="1.0" encoding="utf-8"?>
<ds:datastoreItem xmlns:ds="http://schemas.openxmlformats.org/officeDocument/2006/customXml" ds:itemID="{65EBD56A-518C-430D-81BF-38FE8CE9C122}"/>
</file>

<file path=docProps/app.xml><?xml version="1.0" encoding="utf-8"?>
<Properties xmlns="http://schemas.openxmlformats.org/officeDocument/2006/extended-properties" xmlns:vt="http://schemas.openxmlformats.org/officeDocument/2006/docPropsVTypes">
  <Template>Normal.dotm</Template>
  <TotalTime>39</TotalTime>
  <Pages>6</Pages>
  <Words>1508</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9</cp:revision>
  <cp:lastPrinted>2010-11-05T16:59:00Z</cp:lastPrinted>
  <dcterms:created xsi:type="dcterms:W3CDTF">2013-12-18T19:46:00Z</dcterms:created>
  <dcterms:modified xsi:type="dcterms:W3CDTF">2018-12-17T16:32:00Z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