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F41E7" w14:textId="77777777" w:rsidR="00047467" w:rsidRPr="00724D83" w:rsidRDefault="00047467" w:rsidP="002F3690">
      <w:pPr>
        <w:pStyle w:val="TOCHead"/>
      </w:pPr>
      <w:r>
        <w:t>T</w:t>
      </w:r>
      <w:r w:rsidRPr="00724D83">
        <w:t>ABLE OF CONTENTS</w:t>
      </w:r>
    </w:p>
    <w:p w14:paraId="03FF41E8" w14:textId="77777777" w:rsidR="00047467" w:rsidRPr="00724D83" w:rsidRDefault="00047467" w:rsidP="002F3690">
      <w:pPr>
        <w:pStyle w:val="Head11"/>
      </w:pPr>
      <w:r w:rsidRPr="00724D83">
        <w:t>Accounting Manual</w:t>
      </w:r>
    </w:p>
    <w:p w14:paraId="03FF41E9" w14:textId="77777777" w:rsidR="00047467" w:rsidRPr="00724D83" w:rsidRDefault="00047467" w:rsidP="002F3690">
      <w:pPr>
        <w:pStyle w:val="TOC1"/>
        <w:tabs>
          <w:tab w:val="clear" w:pos="504"/>
          <w:tab w:val="left" w:pos="720"/>
          <w:tab w:val="left" w:pos="1080"/>
        </w:tabs>
      </w:pPr>
      <w:r>
        <w:t>9</w:t>
      </w:r>
      <w:r w:rsidRPr="00724D83">
        <w:t>.</w:t>
      </w:r>
      <w:r w:rsidRPr="00724D83">
        <w:tab/>
        <w:t>Employee benefits</w:t>
      </w:r>
      <w:r w:rsidRPr="00724D83">
        <w:tab/>
        <w:t>2</w:t>
      </w:r>
    </w:p>
    <w:p w14:paraId="03FF41EA" w14:textId="77777777" w:rsidR="00047467" w:rsidRPr="00724D83" w:rsidRDefault="00047467" w:rsidP="002F3690">
      <w:pPr>
        <w:pStyle w:val="TOC1"/>
        <w:tabs>
          <w:tab w:val="clear" w:pos="504"/>
          <w:tab w:val="left" w:pos="720"/>
          <w:tab w:val="left" w:pos="1080"/>
        </w:tabs>
      </w:pPr>
      <w:r>
        <w:t>9</w:t>
      </w:r>
      <w:r w:rsidRPr="00724D83">
        <w:t>.1</w:t>
      </w:r>
      <w:r w:rsidRPr="00724D83">
        <w:tab/>
        <w:t>Purpose and scope</w:t>
      </w:r>
      <w:r w:rsidRPr="00724D83">
        <w:tab/>
        <w:t>2</w:t>
      </w:r>
    </w:p>
    <w:p w14:paraId="03FF41EB" w14:textId="77777777" w:rsidR="00047467" w:rsidRPr="00724D83" w:rsidRDefault="00047467" w:rsidP="002F3690">
      <w:pPr>
        <w:pStyle w:val="TOC1"/>
        <w:tabs>
          <w:tab w:val="clear" w:pos="504"/>
          <w:tab w:val="left" w:pos="720"/>
          <w:tab w:val="left" w:pos="1080"/>
        </w:tabs>
      </w:pPr>
      <w:r>
        <w:t>9</w:t>
      </w:r>
      <w:r w:rsidRPr="00724D83">
        <w:t>.2</w:t>
      </w:r>
      <w:r w:rsidRPr="00724D83">
        <w:tab/>
        <w:t>Short</w:t>
      </w:r>
      <w:r>
        <w:noBreakHyphen/>
      </w:r>
      <w:r w:rsidRPr="00724D83">
        <w:t>term employee benefit plans</w:t>
      </w:r>
      <w:r w:rsidRPr="00724D83">
        <w:tab/>
        <w:t>3</w:t>
      </w:r>
    </w:p>
    <w:p w14:paraId="03FF41EC" w14:textId="77777777" w:rsidR="00047467" w:rsidRPr="00724D83" w:rsidRDefault="00047467" w:rsidP="002F3690">
      <w:pPr>
        <w:pStyle w:val="TOC1"/>
        <w:tabs>
          <w:tab w:val="clear" w:pos="504"/>
          <w:tab w:val="left" w:pos="720"/>
          <w:tab w:val="left" w:pos="1080"/>
        </w:tabs>
      </w:pPr>
      <w:r>
        <w:t>9</w:t>
      </w:r>
      <w:r w:rsidRPr="00724D83">
        <w:t>.3</w:t>
      </w:r>
      <w:r w:rsidRPr="00724D83">
        <w:tab/>
        <w:t>Post</w:t>
      </w:r>
      <w:r>
        <w:noBreakHyphen/>
      </w:r>
      <w:r w:rsidRPr="00724D83">
        <w:t>employment benefit plans</w:t>
      </w:r>
      <w:r w:rsidRPr="00724D83">
        <w:tab/>
        <w:t>3</w:t>
      </w:r>
    </w:p>
    <w:p w14:paraId="03FF41ED" w14:textId="77777777" w:rsidR="00047467" w:rsidRPr="00724D83" w:rsidRDefault="00047467" w:rsidP="002F3690">
      <w:pPr>
        <w:pStyle w:val="TOC1"/>
        <w:tabs>
          <w:tab w:val="clear" w:pos="504"/>
          <w:tab w:val="left" w:pos="1080"/>
        </w:tabs>
        <w:ind w:left="216"/>
      </w:pPr>
      <w:r>
        <w:t>9</w:t>
      </w:r>
      <w:r w:rsidRPr="00724D83">
        <w:t>.3.1</w:t>
      </w:r>
      <w:r w:rsidRPr="00724D83">
        <w:tab/>
        <w:t>Defined contribution plan</w:t>
      </w:r>
      <w:r w:rsidRPr="00724D83">
        <w:tab/>
        <w:t>4</w:t>
      </w:r>
    </w:p>
    <w:p w14:paraId="03FF41EE" w14:textId="77777777" w:rsidR="00047467" w:rsidRPr="00724D83" w:rsidRDefault="00047467" w:rsidP="002F3690">
      <w:pPr>
        <w:pStyle w:val="TOC1"/>
        <w:tabs>
          <w:tab w:val="clear" w:pos="504"/>
          <w:tab w:val="left" w:pos="1080"/>
        </w:tabs>
        <w:ind w:left="216"/>
      </w:pPr>
      <w:r>
        <w:t>9</w:t>
      </w:r>
      <w:r w:rsidRPr="00724D83">
        <w:t>.3.2</w:t>
      </w:r>
      <w:r w:rsidRPr="00724D83">
        <w:tab/>
        <w:t>Defined benefit plans</w:t>
      </w:r>
      <w:r w:rsidRPr="00724D83">
        <w:tab/>
        <w:t>5</w:t>
      </w:r>
    </w:p>
    <w:p w14:paraId="03FF41EF" w14:textId="77777777" w:rsidR="00047467" w:rsidRPr="00724D83" w:rsidRDefault="00047467" w:rsidP="002F3690">
      <w:pPr>
        <w:pStyle w:val="TOC1"/>
        <w:tabs>
          <w:tab w:val="clear" w:pos="504"/>
          <w:tab w:val="left" w:pos="720"/>
          <w:tab w:val="left" w:pos="1080"/>
        </w:tabs>
      </w:pPr>
      <w:r>
        <w:t>9</w:t>
      </w:r>
      <w:r w:rsidRPr="00724D83">
        <w:t>.4</w:t>
      </w:r>
      <w:r w:rsidRPr="00724D83">
        <w:tab/>
        <w:t>Termination plans</w:t>
      </w:r>
      <w:r w:rsidRPr="00724D83">
        <w:tab/>
      </w:r>
      <w:r>
        <w:t>9</w:t>
      </w:r>
    </w:p>
    <w:p w14:paraId="03FF41F0" w14:textId="77777777" w:rsidR="00047467" w:rsidRPr="00724D83" w:rsidRDefault="00047467" w:rsidP="002F3690">
      <w:pPr>
        <w:pStyle w:val="TOC1"/>
        <w:tabs>
          <w:tab w:val="clear" w:pos="504"/>
          <w:tab w:val="left" w:pos="720"/>
          <w:tab w:val="left" w:pos="1080"/>
        </w:tabs>
      </w:pPr>
      <w:r>
        <w:t>9</w:t>
      </w:r>
      <w:r w:rsidRPr="00724D83">
        <w:t>.5</w:t>
      </w:r>
      <w:r w:rsidRPr="00724D83">
        <w:tab/>
        <w:t>Other long</w:t>
      </w:r>
      <w:r>
        <w:noBreakHyphen/>
      </w:r>
      <w:r w:rsidRPr="00724D83">
        <w:t>term benefit plans</w:t>
      </w:r>
      <w:r w:rsidRPr="00724D83">
        <w:tab/>
        <w:t>9</w:t>
      </w:r>
    </w:p>
    <w:p w14:paraId="03FF41F1" w14:textId="77777777" w:rsidR="00047467" w:rsidRPr="00724D83" w:rsidRDefault="00047467" w:rsidP="002F3690">
      <w:pPr>
        <w:pStyle w:val="TOC1"/>
        <w:tabs>
          <w:tab w:val="clear" w:pos="504"/>
          <w:tab w:val="left" w:pos="720"/>
          <w:tab w:val="left" w:pos="1080"/>
        </w:tabs>
      </w:pPr>
      <w:r>
        <w:t>9</w:t>
      </w:r>
      <w:r w:rsidRPr="00724D83">
        <w:t>.6</w:t>
      </w:r>
      <w:r w:rsidRPr="00724D83">
        <w:tab/>
        <w:t>Presentation and disclosure</w:t>
      </w:r>
      <w:r w:rsidRPr="00724D83">
        <w:tab/>
        <w:t>9</w:t>
      </w:r>
    </w:p>
    <w:p w14:paraId="03FF41F2" w14:textId="77777777" w:rsidR="00047467" w:rsidRPr="00724D83" w:rsidRDefault="00047467" w:rsidP="002F3690">
      <w:pPr>
        <w:pStyle w:val="TOC1"/>
        <w:tabs>
          <w:tab w:val="clear" w:pos="504"/>
          <w:tab w:val="left" w:pos="1080"/>
        </w:tabs>
        <w:ind w:left="216"/>
      </w:pPr>
      <w:r>
        <w:t>9</w:t>
      </w:r>
      <w:r w:rsidRPr="00724D83">
        <w:t>.</w:t>
      </w:r>
      <w:r>
        <w:t>6</w:t>
      </w:r>
      <w:r w:rsidRPr="00724D83">
        <w:t>.</w:t>
      </w:r>
      <w:r>
        <w:t>1</w:t>
      </w:r>
      <w:r w:rsidRPr="00724D83">
        <w:tab/>
      </w:r>
      <w:r>
        <w:t>Offsetting</w:t>
      </w:r>
      <w:r w:rsidRPr="00724D83">
        <w:tab/>
      </w:r>
      <w:r>
        <w:t>9</w:t>
      </w:r>
    </w:p>
    <w:p w14:paraId="03FF41F3" w14:textId="77777777" w:rsidR="00047467" w:rsidRPr="00724D83" w:rsidRDefault="00047467" w:rsidP="002F3690">
      <w:pPr>
        <w:pStyle w:val="TOC1"/>
        <w:tabs>
          <w:tab w:val="clear" w:pos="504"/>
          <w:tab w:val="left" w:pos="1080"/>
        </w:tabs>
        <w:ind w:left="216"/>
      </w:pPr>
      <w:r>
        <w:t>9</w:t>
      </w:r>
      <w:r w:rsidRPr="00724D83">
        <w:t>.</w:t>
      </w:r>
      <w:r>
        <w:t>6</w:t>
      </w:r>
      <w:r w:rsidRPr="00724D83">
        <w:t>.</w:t>
      </w:r>
      <w:r>
        <w:t>2</w:t>
      </w:r>
      <w:r w:rsidRPr="00724D83">
        <w:tab/>
      </w:r>
      <w:r>
        <w:t>Current/non-current distinction</w:t>
      </w:r>
      <w:r w:rsidRPr="00724D83">
        <w:tab/>
      </w:r>
      <w:r>
        <w:t>10</w:t>
      </w:r>
    </w:p>
    <w:p w14:paraId="03FF41F4" w14:textId="77777777" w:rsidR="00047467" w:rsidRPr="00724D83" w:rsidRDefault="00047467" w:rsidP="002F3690">
      <w:pPr>
        <w:pStyle w:val="TOC1"/>
        <w:tabs>
          <w:tab w:val="clear" w:pos="504"/>
          <w:tab w:val="left" w:pos="1080"/>
        </w:tabs>
        <w:ind w:left="216"/>
      </w:pPr>
      <w:r>
        <w:t>9</w:t>
      </w:r>
      <w:r w:rsidRPr="00724D83">
        <w:t>.</w:t>
      </w:r>
      <w:r>
        <w:t>6</w:t>
      </w:r>
      <w:r w:rsidRPr="00724D83">
        <w:t>.</w:t>
      </w:r>
      <w:r>
        <w:t>3</w:t>
      </w:r>
      <w:r w:rsidRPr="00724D83">
        <w:tab/>
      </w:r>
      <w:r>
        <w:t>Disclosures</w:t>
      </w:r>
      <w:r w:rsidRPr="00724D83">
        <w:tab/>
      </w:r>
      <w:r>
        <w:t>10</w:t>
      </w:r>
    </w:p>
    <w:p w14:paraId="03FF41F5" w14:textId="77777777" w:rsidR="00047467" w:rsidRPr="00724D83" w:rsidRDefault="00047467" w:rsidP="002F3690">
      <w:pPr>
        <w:pStyle w:val="TOC1"/>
        <w:tabs>
          <w:tab w:val="clear" w:pos="504"/>
          <w:tab w:val="left" w:pos="1080"/>
        </w:tabs>
        <w:ind w:left="720"/>
      </w:pPr>
      <w:r>
        <w:t>9</w:t>
      </w:r>
      <w:r w:rsidRPr="00724D83">
        <w:t>.</w:t>
      </w:r>
      <w:r>
        <w:t>6</w:t>
      </w:r>
      <w:r w:rsidRPr="00724D83">
        <w:t>.</w:t>
      </w:r>
      <w:r>
        <w:t xml:space="preserve">3.1 </w:t>
      </w:r>
      <w:r w:rsidRPr="00724D83">
        <w:t>Defined</w:t>
      </w:r>
      <w:r>
        <w:t xml:space="preserve"> contribution </w:t>
      </w:r>
      <w:r w:rsidRPr="00724D83">
        <w:t>plans</w:t>
      </w:r>
      <w:r w:rsidRPr="00724D83">
        <w:tab/>
      </w:r>
      <w:r>
        <w:t>10</w:t>
      </w:r>
    </w:p>
    <w:p w14:paraId="03FF41F6" w14:textId="77777777" w:rsidR="00047467" w:rsidRPr="00724D83" w:rsidRDefault="00047467" w:rsidP="002F3690">
      <w:pPr>
        <w:pStyle w:val="TOC1"/>
        <w:tabs>
          <w:tab w:val="clear" w:pos="504"/>
          <w:tab w:val="left" w:pos="1080"/>
        </w:tabs>
        <w:ind w:left="720"/>
      </w:pPr>
      <w:r>
        <w:t>9</w:t>
      </w:r>
      <w:r w:rsidRPr="00724D83">
        <w:t>.</w:t>
      </w:r>
      <w:r>
        <w:t>6</w:t>
      </w:r>
      <w:r w:rsidRPr="00724D83">
        <w:t>.</w:t>
      </w:r>
      <w:r>
        <w:t xml:space="preserve">3.2 </w:t>
      </w:r>
      <w:r w:rsidRPr="00724D83">
        <w:t>Defined</w:t>
      </w:r>
      <w:r>
        <w:t xml:space="preserve"> </w:t>
      </w:r>
      <w:r w:rsidRPr="00724D83">
        <w:t>benefit</w:t>
      </w:r>
      <w:r>
        <w:t xml:space="preserve"> </w:t>
      </w:r>
      <w:r w:rsidRPr="00724D83">
        <w:t>plans</w:t>
      </w:r>
      <w:r w:rsidRPr="00724D83">
        <w:tab/>
      </w:r>
      <w:r>
        <w:t>10</w:t>
      </w:r>
    </w:p>
    <w:p w14:paraId="03FF41F7" w14:textId="77777777" w:rsidR="00047467" w:rsidRPr="00724D83" w:rsidRDefault="00047467" w:rsidP="002F3690">
      <w:pPr>
        <w:rPr>
          <w:color w:val="000000"/>
        </w:rPr>
      </w:pPr>
      <w:r w:rsidRPr="00724D83">
        <w:br w:type="page"/>
      </w:r>
    </w:p>
    <w:p w14:paraId="03FF41F8" w14:textId="77777777" w:rsidR="00047467" w:rsidRPr="00724D83" w:rsidRDefault="00047467" w:rsidP="002F3690">
      <w:pPr>
        <w:pStyle w:val="Head1"/>
      </w:pPr>
      <w:r>
        <w:lastRenderedPageBreak/>
        <w:t>9</w:t>
      </w:r>
      <w:r w:rsidRPr="00724D83">
        <w:t>.</w:t>
      </w:r>
      <w:r w:rsidRPr="00724D83">
        <w:tab/>
        <w:t>Employee benefits</w:t>
      </w: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738"/>
        <w:gridCol w:w="8622"/>
      </w:tblGrid>
      <w:tr w:rsidR="00047467" w:rsidRPr="00724D83" w14:paraId="03FF4206" w14:textId="77777777" w:rsidTr="0098070F">
        <w:trPr>
          <w:cantSplit/>
          <w:trHeight w:val="1831"/>
        </w:trPr>
        <w:tc>
          <w:tcPr>
            <w:tcW w:w="738" w:type="dxa"/>
            <w:shd w:val="clear" w:color="auto" w:fill="DBE5F1"/>
            <w:textDirection w:val="btLr"/>
            <w:vAlign w:val="center"/>
          </w:tcPr>
          <w:p w14:paraId="03FF41F9" w14:textId="77777777" w:rsidR="00047467" w:rsidRPr="00724D83" w:rsidRDefault="00047467" w:rsidP="0098070F">
            <w:pPr>
              <w:widowControl w:val="0"/>
              <w:autoSpaceDE w:val="0"/>
              <w:autoSpaceDN w:val="0"/>
              <w:adjustRightInd w:val="0"/>
              <w:spacing w:after="0" w:line="240" w:lineRule="auto"/>
              <w:ind w:left="113" w:right="113"/>
              <w:jc w:val="center"/>
              <w:rPr>
                <w:b/>
                <w:color w:val="000080"/>
                <w:sz w:val="26"/>
                <w:szCs w:val="26"/>
              </w:rPr>
            </w:pPr>
            <w:r w:rsidRPr="00724D83">
              <w:rPr>
                <w:b/>
                <w:color w:val="000080"/>
                <w:sz w:val="26"/>
                <w:szCs w:val="26"/>
              </w:rPr>
              <w:t>OVERVIEW</w:t>
            </w:r>
          </w:p>
        </w:tc>
        <w:tc>
          <w:tcPr>
            <w:tcW w:w="8622" w:type="dxa"/>
            <w:shd w:val="clear" w:color="auto" w:fill="DBE5F1"/>
          </w:tcPr>
          <w:p w14:paraId="03FF41FA" w14:textId="77777777" w:rsidR="00047467" w:rsidRPr="00724D83" w:rsidRDefault="00047467" w:rsidP="002F3690">
            <w:pPr>
              <w:pStyle w:val="Tablebullet1"/>
              <w:numPr>
                <w:ilvl w:val="0"/>
                <w:numId w:val="7"/>
              </w:numPr>
              <w:tabs>
                <w:tab w:val="left" w:pos="360"/>
              </w:tabs>
              <w:ind w:left="360"/>
            </w:pPr>
            <w:r w:rsidRPr="00724D83">
              <w:t>Liabilities for employee benefits are recognized on the basis of a legal or constructive obligation.</w:t>
            </w:r>
          </w:p>
          <w:p w14:paraId="03FF41FB" w14:textId="77777777" w:rsidR="00047467" w:rsidRPr="00724D83" w:rsidRDefault="00047467" w:rsidP="002F3690">
            <w:pPr>
              <w:pStyle w:val="Tablebullet1"/>
              <w:numPr>
                <w:ilvl w:val="0"/>
                <w:numId w:val="7"/>
              </w:numPr>
              <w:tabs>
                <w:tab w:val="left" w:pos="360"/>
              </w:tabs>
              <w:ind w:left="360"/>
            </w:pPr>
            <w:r w:rsidRPr="00724D83">
              <w:t>Liabilities and expenses for employee benefits generally are recognized in the period in which the services are rendered.</w:t>
            </w:r>
          </w:p>
          <w:p w14:paraId="03FF41FC" w14:textId="77777777" w:rsidR="00047467" w:rsidRPr="00724D83" w:rsidRDefault="00047467" w:rsidP="002F3690">
            <w:pPr>
              <w:pStyle w:val="Tablebullet1"/>
              <w:numPr>
                <w:ilvl w:val="0"/>
                <w:numId w:val="7"/>
              </w:numPr>
              <w:tabs>
                <w:tab w:val="left" w:pos="360"/>
              </w:tabs>
              <w:ind w:left="360"/>
            </w:pPr>
            <w:r w:rsidRPr="00724D83">
              <w:t>Short</w:t>
            </w:r>
            <w:r>
              <w:noBreakHyphen/>
            </w:r>
            <w:r w:rsidRPr="00724D83">
              <w:t>term employee benefits are accounted for using normal accrual accounting.</w:t>
            </w:r>
          </w:p>
          <w:p w14:paraId="03FF41FD" w14:textId="77777777" w:rsidR="00047467" w:rsidRPr="00724D83" w:rsidRDefault="00047467" w:rsidP="002F3690">
            <w:pPr>
              <w:pStyle w:val="Tablebullet1"/>
              <w:numPr>
                <w:ilvl w:val="0"/>
                <w:numId w:val="7"/>
              </w:numPr>
              <w:tabs>
                <w:tab w:val="left" w:pos="360"/>
              </w:tabs>
              <w:ind w:left="360"/>
            </w:pPr>
            <w:r w:rsidRPr="00724D83">
              <w:t>A defined contribution plan is a post</w:t>
            </w:r>
            <w:r>
              <w:noBreakHyphen/>
            </w:r>
            <w:r w:rsidRPr="00724D83">
              <w:t xml:space="preserve">employment benefit plan under which </w:t>
            </w:r>
            <w:r>
              <w:t>a company</w:t>
            </w:r>
            <w:r w:rsidRPr="00724D83">
              <w:t xml:space="preserve"> pays fixed contributions into a separate entity and has no further obligations. All other post</w:t>
            </w:r>
            <w:r>
              <w:noBreakHyphen/>
            </w:r>
            <w:r w:rsidRPr="00724D83">
              <w:t>employment plans are defined benefit plans.</w:t>
            </w:r>
          </w:p>
          <w:p w14:paraId="03FF41FE" w14:textId="77777777" w:rsidR="00047467" w:rsidRPr="00724D83" w:rsidRDefault="00047467" w:rsidP="002F3690">
            <w:pPr>
              <w:pStyle w:val="Tablebullet1"/>
              <w:numPr>
                <w:ilvl w:val="0"/>
                <w:numId w:val="7"/>
              </w:numPr>
              <w:tabs>
                <w:tab w:val="left" w:pos="360"/>
              </w:tabs>
              <w:ind w:left="360"/>
            </w:pPr>
            <w:r w:rsidRPr="00724D83">
              <w:t>Contributions to a defined contribution plan are expensed as the obligation to make the payments is incurred.</w:t>
            </w:r>
          </w:p>
          <w:p w14:paraId="03FF41FF" w14:textId="77777777" w:rsidR="00047467" w:rsidRPr="00724D83" w:rsidRDefault="00047467" w:rsidP="002F3690">
            <w:pPr>
              <w:pStyle w:val="Tablebullet1"/>
              <w:numPr>
                <w:ilvl w:val="0"/>
                <w:numId w:val="7"/>
              </w:numPr>
              <w:tabs>
                <w:tab w:val="left" w:pos="360"/>
              </w:tabs>
              <w:ind w:left="360"/>
            </w:pPr>
            <w:r w:rsidRPr="00724D83">
              <w:t>A liability is recognized for an employer’s obligation under a defined benefit plan. The liability and expense are measured actuarially using the projected unit credit method.</w:t>
            </w:r>
          </w:p>
          <w:p w14:paraId="03FF4200" w14:textId="77777777" w:rsidR="00047467" w:rsidRPr="00724D83" w:rsidRDefault="00047467" w:rsidP="002F3690">
            <w:pPr>
              <w:pStyle w:val="Tablebullet1"/>
              <w:numPr>
                <w:ilvl w:val="0"/>
                <w:numId w:val="7"/>
              </w:numPr>
              <w:tabs>
                <w:tab w:val="left" w:pos="360"/>
              </w:tabs>
              <w:ind w:left="360"/>
            </w:pPr>
            <w:r w:rsidRPr="00724D83">
              <w:t>Assets that meet the definition of plan assets and the related liabilities are presented on a net basis in the balance sheet.</w:t>
            </w:r>
          </w:p>
          <w:p w14:paraId="03FF4201" w14:textId="77777777" w:rsidR="00047467" w:rsidRPr="00724D83" w:rsidRDefault="00047467" w:rsidP="002F3690">
            <w:pPr>
              <w:pStyle w:val="Tablebullet1"/>
              <w:numPr>
                <w:ilvl w:val="0"/>
                <w:numId w:val="7"/>
              </w:numPr>
              <w:tabs>
                <w:tab w:val="left" w:pos="360"/>
              </w:tabs>
              <w:ind w:left="360"/>
            </w:pPr>
            <w:r w:rsidRPr="00724D83">
              <w:t>Actuarial gains and losses of defined benefit plans are recognized immediately directly in equity.</w:t>
            </w:r>
          </w:p>
          <w:p w14:paraId="03FF4202" w14:textId="77777777" w:rsidR="00047467" w:rsidRPr="00724D83" w:rsidRDefault="00047467" w:rsidP="002F3690">
            <w:pPr>
              <w:pStyle w:val="Tablebullet1"/>
              <w:numPr>
                <w:ilvl w:val="0"/>
                <w:numId w:val="7"/>
              </w:numPr>
              <w:tabs>
                <w:tab w:val="left" w:pos="360"/>
              </w:tabs>
              <w:ind w:left="360"/>
            </w:pPr>
            <w:r w:rsidRPr="00724D83">
              <w:t>Liabilities and expenses for vested past service costs under a defined benefit plan are recognized immediately.</w:t>
            </w:r>
          </w:p>
          <w:p w14:paraId="03FF4203" w14:textId="77777777" w:rsidR="00047467" w:rsidRPr="00724D83" w:rsidRDefault="00047467" w:rsidP="002F3690">
            <w:pPr>
              <w:pStyle w:val="Tablebullet1"/>
              <w:numPr>
                <w:ilvl w:val="0"/>
                <w:numId w:val="7"/>
              </w:numPr>
              <w:tabs>
                <w:tab w:val="left" w:pos="360"/>
              </w:tabs>
              <w:ind w:left="360"/>
            </w:pPr>
            <w:r w:rsidRPr="00724D83">
              <w:t>Liabilities and expenses for unvested past service costs under a defined benefit plan are recognized over the vesting period.</w:t>
            </w:r>
          </w:p>
          <w:p w14:paraId="03FF4204" w14:textId="77777777" w:rsidR="00047467" w:rsidRPr="00724D83" w:rsidRDefault="00047467" w:rsidP="002F3690">
            <w:pPr>
              <w:pStyle w:val="Tablebullet1"/>
              <w:numPr>
                <w:ilvl w:val="0"/>
                <w:numId w:val="7"/>
              </w:numPr>
              <w:tabs>
                <w:tab w:val="left" w:pos="360"/>
              </w:tabs>
              <w:ind w:left="360"/>
            </w:pPr>
            <w:r w:rsidRPr="00724D83">
              <w:t>If a defined benefit plan has assets in excess of the obligation, then the amount of any net asset recognized is limited to available future benefits from the plan and unrecognized actuarial losses and past service costs.</w:t>
            </w:r>
          </w:p>
          <w:p w14:paraId="03FF4205" w14:textId="77777777" w:rsidR="00047467" w:rsidRPr="00724D83" w:rsidRDefault="00047467" w:rsidP="002F3690">
            <w:pPr>
              <w:pStyle w:val="Tablebullet1"/>
              <w:numPr>
                <w:ilvl w:val="0"/>
                <w:numId w:val="7"/>
              </w:numPr>
              <w:tabs>
                <w:tab w:val="left" w:pos="360"/>
              </w:tabs>
              <w:ind w:left="360"/>
              <w:rPr>
                <w:color w:val="000000"/>
              </w:rPr>
            </w:pPr>
            <w:r w:rsidRPr="00724D83">
              <w:t>The expense for long</w:t>
            </w:r>
            <w:r>
              <w:noBreakHyphen/>
            </w:r>
            <w:r w:rsidRPr="00724D83">
              <w:t>term employee benefits is accrued over the service period.</w:t>
            </w:r>
          </w:p>
        </w:tc>
      </w:tr>
    </w:tbl>
    <w:p w14:paraId="03FF4207" w14:textId="77777777" w:rsidR="00047467" w:rsidRPr="00724D83" w:rsidRDefault="00047467" w:rsidP="002F3690">
      <w:pPr>
        <w:pStyle w:val="Text1"/>
      </w:pPr>
    </w:p>
    <w:p w14:paraId="03FF4208" w14:textId="531B9971" w:rsidR="00047467" w:rsidRPr="00724D83" w:rsidRDefault="00047467" w:rsidP="002F3690">
      <w:pPr>
        <w:pStyle w:val="Head1"/>
      </w:pPr>
      <w:r>
        <w:t>9</w:t>
      </w:r>
      <w:r w:rsidRPr="00724D83">
        <w:t>.1</w:t>
      </w:r>
      <w:r w:rsidRPr="00724D83">
        <w:tab/>
        <w:t>Purpose and scope</w:t>
      </w:r>
      <w:r>
        <w:t xml:space="preserve"> </w:t>
      </w:r>
    </w:p>
    <w:p w14:paraId="03FF4209" w14:textId="4B0D6864" w:rsidR="00047467" w:rsidRPr="00724D83" w:rsidRDefault="00047467" w:rsidP="002F3690">
      <w:pPr>
        <w:pStyle w:val="Text1"/>
      </w:pPr>
      <w:r w:rsidRPr="00724D83">
        <w:t xml:space="preserve">This policy provides guidance and rules on accounting for </w:t>
      </w:r>
      <w:r w:rsidRPr="00724D83">
        <w:rPr>
          <w:b/>
          <w:bCs/>
        </w:rPr>
        <w:t>Employee benefits</w:t>
      </w:r>
      <w:r w:rsidRPr="00724D83">
        <w:t xml:space="preserve"> for the purpose of preparing the financial statements of the</w:t>
      </w:r>
      <w:r>
        <w:t xml:space="preserve"> </w:t>
      </w:r>
      <w:r w:rsidR="0001162E">
        <w:t>G</w:t>
      </w:r>
      <w:r w:rsidRPr="00724D83">
        <w:t>roup according to International Financial Reporting Standards</w:t>
      </w:r>
      <w:r w:rsidR="0001162E">
        <w:t>, specifically IAS 19, Employee Benefits</w:t>
      </w:r>
      <w:r w:rsidRPr="00724D83">
        <w:t>.</w:t>
      </w:r>
    </w:p>
    <w:p w14:paraId="03FF420A" w14:textId="2114EB6C" w:rsidR="00047467" w:rsidRPr="00724D83" w:rsidRDefault="00047467" w:rsidP="002F3690">
      <w:pPr>
        <w:pStyle w:val="Text1"/>
      </w:pPr>
      <w:r w:rsidRPr="00724D83">
        <w:t>The policy does not provide guidance on compliance with local GAAP or statutory or tax requirements.</w:t>
      </w:r>
      <w:r w:rsidR="0001162E">
        <w:t xml:space="preserve"> This policy does not </w:t>
      </w:r>
      <w:r w:rsidR="00BE3237">
        <w:t>provide</w:t>
      </w:r>
      <w:r w:rsidR="0001162E">
        <w:t xml:space="preserve"> guidance on accounting for share-based payments. See Share Based Payments Policy.</w:t>
      </w:r>
    </w:p>
    <w:p w14:paraId="03FF420B" w14:textId="00BE6F3F" w:rsidR="00047467" w:rsidRPr="00724D83" w:rsidRDefault="0001162E" w:rsidP="002F3690">
      <w:pPr>
        <w:pStyle w:val="Text1kwn"/>
      </w:pPr>
      <w:r>
        <w:lastRenderedPageBreak/>
        <w:t>The Group</w:t>
      </w:r>
      <w:r w:rsidRPr="00724D83">
        <w:t xml:space="preserve"> </w:t>
      </w:r>
      <w:r w:rsidR="00047467" w:rsidRPr="00724D83">
        <w:t>sponsors the following employee benefit plans</w:t>
      </w:r>
      <w:r>
        <w:t xml:space="preserve"> in different forms around the world</w:t>
      </w:r>
      <w:r w:rsidR="00047467" w:rsidRPr="00724D83">
        <w:t>:</w:t>
      </w:r>
      <w:r w:rsidR="00047467">
        <w:t xml:space="preserve"> </w:t>
      </w:r>
    </w:p>
    <w:p w14:paraId="03FF420C" w14:textId="77777777" w:rsidR="00047467" w:rsidRPr="00724D83" w:rsidRDefault="00047467" w:rsidP="002F3690">
      <w:pPr>
        <w:pStyle w:val="Text1"/>
        <w:tabs>
          <w:tab w:val="left" w:pos="360"/>
        </w:tabs>
        <w:spacing w:after="0"/>
      </w:pPr>
      <w:r w:rsidRPr="00724D83">
        <w:t>1.</w:t>
      </w:r>
      <w:r w:rsidRPr="00724D83">
        <w:tab/>
        <w:t>Short</w:t>
      </w:r>
      <w:r>
        <w:noBreakHyphen/>
      </w:r>
      <w:r w:rsidRPr="00724D83">
        <w:t>term employee benefits</w:t>
      </w:r>
    </w:p>
    <w:p w14:paraId="03FF420D" w14:textId="77777777" w:rsidR="00047467" w:rsidRPr="00724D83" w:rsidRDefault="00047467" w:rsidP="002F3690">
      <w:pPr>
        <w:pStyle w:val="Text1"/>
        <w:tabs>
          <w:tab w:val="left" w:pos="360"/>
        </w:tabs>
        <w:spacing w:after="0"/>
      </w:pPr>
      <w:r w:rsidRPr="00724D83">
        <w:t>2.</w:t>
      </w:r>
      <w:r w:rsidRPr="00724D83">
        <w:tab/>
        <w:t>Defined contribution plans</w:t>
      </w:r>
    </w:p>
    <w:p w14:paraId="03FF420E" w14:textId="77777777" w:rsidR="00047467" w:rsidRPr="00724D83" w:rsidRDefault="00047467" w:rsidP="002F3690">
      <w:pPr>
        <w:pStyle w:val="Text1"/>
        <w:tabs>
          <w:tab w:val="left" w:pos="360"/>
        </w:tabs>
        <w:spacing w:after="0"/>
      </w:pPr>
      <w:r w:rsidRPr="00724D83">
        <w:t>3.</w:t>
      </w:r>
      <w:r w:rsidRPr="00724D83">
        <w:tab/>
        <w:t>Defined benefit plans</w:t>
      </w:r>
    </w:p>
    <w:p w14:paraId="03FF420F" w14:textId="77777777" w:rsidR="00047467" w:rsidRPr="00724D83" w:rsidRDefault="00047467" w:rsidP="002F3690">
      <w:pPr>
        <w:pStyle w:val="Text1"/>
        <w:tabs>
          <w:tab w:val="left" w:pos="360"/>
        </w:tabs>
      </w:pPr>
      <w:r w:rsidRPr="00724D83">
        <w:t>4.</w:t>
      </w:r>
      <w:r w:rsidRPr="00724D83">
        <w:tab/>
        <w:t>Long</w:t>
      </w:r>
      <w:r>
        <w:t>-term employee benefits</w:t>
      </w:r>
    </w:p>
    <w:p w14:paraId="03FF4289" w14:textId="24BE74AB" w:rsidR="00047467" w:rsidRPr="00724D83" w:rsidRDefault="00047467" w:rsidP="002F3690">
      <w:pPr>
        <w:pStyle w:val="Head1"/>
      </w:pPr>
      <w:r>
        <w:t>9</w:t>
      </w:r>
      <w:r w:rsidRPr="00724D83">
        <w:t>.2</w:t>
      </w:r>
      <w:r w:rsidRPr="00724D83">
        <w:tab/>
        <w:t>Short</w:t>
      </w:r>
      <w:r>
        <w:noBreakHyphen/>
      </w:r>
      <w:r w:rsidRPr="00724D83">
        <w:t>term employee benefit plans</w:t>
      </w:r>
      <w:r>
        <w:t xml:space="preserve"> </w:t>
      </w:r>
    </w:p>
    <w:p w14:paraId="03FF428A" w14:textId="77777777" w:rsidR="00047467" w:rsidRPr="00724D83" w:rsidRDefault="00047467" w:rsidP="002F3690">
      <w:pPr>
        <w:pStyle w:val="Text1"/>
      </w:pPr>
      <w:r w:rsidRPr="00724D83">
        <w:t>Short</w:t>
      </w:r>
      <w:r>
        <w:noBreakHyphen/>
      </w:r>
      <w:r w:rsidRPr="00724D83">
        <w:t>term employee benefits are those benefits payable within 12 months of the end of the period in which the employee renders the related service. They are accounted for using normal accrual accounting.</w:t>
      </w:r>
    </w:p>
    <w:p w14:paraId="03FF428B" w14:textId="77777777" w:rsidR="00047467" w:rsidRDefault="00047467" w:rsidP="002F3690">
      <w:pPr>
        <w:pStyle w:val="Text1"/>
      </w:pPr>
      <w:r w:rsidRPr="00724D83">
        <w:t>Short</w:t>
      </w:r>
      <w:r>
        <w:noBreakHyphen/>
      </w:r>
      <w:r w:rsidRPr="00724D83">
        <w:t>term employee benefit plans include profit</w:t>
      </w:r>
      <w:r>
        <w:noBreakHyphen/>
      </w:r>
      <w:r w:rsidRPr="00724D83">
        <w:t>sharing and bonus plans, wages, salaries, social security contributions, vacation and sick leaves that are due within 12 months.</w:t>
      </w:r>
    </w:p>
    <w:p w14:paraId="03FF428C" w14:textId="3A984070" w:rsidR="00047467" w:rsidRDefault="00047467" w:rsidP="002F3690">
      <w:pPr>
        <w:pStyle w:val="Text1"/>
      </w:pPr>
      <w:r>
        <w:t xml:space="preserve">The </w:t>
      </w:r>
      <w:r w:rsidR="0001162E">
        <w:t xml:space="preserve">Group </w:t>
      </w:r>
      <w:r>
        <w:t xml:space="preserve">should </w:t>
      </w:r>
      <w:r w:rsidR="00BE3237">
        <w:t>recognize</w:t>
      </w:r>
      <w:r>
        <w:t xml:space="preserve"> the expected cost of profit-sharing and bonus payments when, and only when, it has a legal or constructive obligation to make such payments as a result of past events and a reliable estimate of the expected cost can be made.</w:t>
      </w:r>
      <w:r w:rsidRPr="000D7056">
        <w:t xml:space="preserve"> </w:t>
      </w:r>
    </w:p>
    <w:p w14:paraId="03FF428D" w14:textId="7DECD6FC" w:rsidR="00047467" w:rsidRPr="00724D83" w:rsidRDefault="00047467" w:rsidP="002F3690">
      <w:pPr>
        <w:pStyle w:val="Text1"/>
      </w:pPr>
      <w:r>
        <w:t xml:space="preserve">The expected cost of short-term compensated absences should be </w:t>
      </w:r>
      <w:r w:rsidR="00BE3237">
        <w:t>recognized</w:t>
      </w:r>
      <w:r>
        <w:t xml:space="preserve"> as the employees render service that increases their entitlement or, in the case of non-accumulating absences, when the absences occur. </w:t>
      </w:r>
    </w:p>
    <w:p w14:paraId="03FF428E" w14:textId="4495D17E" w:rsidR="00047467" w:rsidRPr="00724D83" w:rsidRDefault="00047467" w:rsidP="002F3690">
      <w:pPr>
        <w:pStyle w:val="Head1"/>
      </w:pPr>
      <w:r>
        <w:t>9</w:t>
      </w:r>
      <w:r w:rsidRPr="00724D83">
        <w:t>.3</w:t>
      </w:r>
      <w:r w:rsidRPr="00724D83">
        <w:tab/>
        <w:t>Post</w:t>
      </w:r>
      <w:r>
        <w:noBreakHyphen/>
      </w:r>
      <w:r w:rsidRPr="00724D83">
        <w:t>employment benefit plans</w:t>
      </w:r>
      <w:r>
        <w:t xml:space="preserve"> </w:t>
      </w:r>
    </w:p>
    <w:p w14:paraId="03FF428F" w14:textId="77777777" w:rsidR="00047467" w:rsidRPr="00724D83" w:rsidRDefault="00047467" w:rsidP="002F3690">
      <w:pPr>
        <w:pStyle w:val="Text1"/>
      </w:pPr>
      <w:r w:rsidRPr="00724D83">
        <w:t>Depending on the economic substance of the plan, post</w:t>
      </w:r>
      <w:r>
        <w:noBreakHyphen/>
      </w:r>
      <w:r w:rsidRPr="00724D83">
        <w:t>employment benefit plans are classified as either a defined contribution plan or a defined benefit plan.</w:t>
      </w:r>
    </w:p>
    <w:p w14:paraId="03FF4290" w14:textId="77777777" w:rsidR="00047467" w:rsidRPr="00724D83" w:rsidRDefault="00047467" w:rsidP="002F3690">
      <w:pPr>
        <w:pStyle w:val="Text1kwn"/>
      </w:pPr>
      <w:r w:rsidRPr="00724D83">
        <w:t xml:space="preserve">A </w:t>
      </w:r>
      <w:r w:rsidRPr="00724D83">
        <w:rPr>
          <w:b/>
        </w:rPr>
        <w:t>defined contribution plan</w:t>
      </w:r>
      <w:r w:rsidRPr="00724D83">
        <w:t xml:space="preserve"> is a plan that:</w:t>
      </w:r>
    </w:p>
    <w:p w14:paraId="03FF4291" w14:textId="77777777" w:rsidR="00047467" w:rsidRPr="00724D83" w:rsidRDefault="00047467" w:rsidP="002F3690">
      <w:pPr>
        <w:pStyle w:val="SquareBullet"/>
        <w:ind w:left="360"/>
      </w:pPr>
      <w:r w:rsidRPr="00724D83">
        <w:t>Provides pension benefits in return for services rendered, through an individual account for each participant, and</w:t>
      </w:r>
    </w:p>
    <w:p w14:paraId="03FF4292" w14:textId="77777777" w:rsidR="00047467" w:rsidRPr="00724D83" w:rsidRDefault="00047467" w:rsidP="002F3690">
      <w:pPr>
        <w:pStyle w:val="SquareBulletLast"/>
        <w:ind w:left="360"/>
      </w:pPr>
      <w:r w:rsidRPr="00724D83">
        <w:t>Specifies how contributions to the individual’s account are to be determined instead of specifying the amount of benefits the individual is to receive.</w:t>
      </w:r>
    </w:p>
    <w:p w14:paraId="03FF4293" w14:textId="77777777" w:rsidR="00047467" w:rsidRPr="00724D83" w:rsidRDefault="00047467" w:rsidP="002F3690">
      <w:pPr>
        <w:pStyle w:val="Text1"/>
      </w:pPr>
      <w:r w:rsidRPr="00724D83">
        <w:t xml:space="preserve">Under a defined contribution pension plan, </w:t>
      </w:r>
      <w:r>
        <w:t>a company</w:t>
      </w:r>
      <w:r w:rsidRPr="00724D83">
        <w:t xml:space="preserve"> pays fixed contributions into a separate fund and has no legal or constructive obligation to pay further contributions if the fund does not hold sufficient assets to pay all employee benefits relating to employee service in the current and prior periods.</w:t>
      </w:r>
      <w:r>
        <w:t xml:space="preserve">  As such, </w:t>
      </w:r>
      <w:r w:rsidRPr="00724D83">
        <w:t xml:space="preserve">the actuarial risk and the investment risk are borne by </w:t>
      </w:r>
      <w:r>
        <w:t>the employee.</w:t>
      </w:r>
    </w:p>
    <w:p w14:paraId="03FF4294" w14:textId="77777777" w:rsidR="00047467" w:rsidRPr="00724D83" w:rsidRDefault="00047467" w:rsidP="002F3690">
      <w:pPr>
        <w:pStyle w:val="Text1"/>
      </w:pPr>
      <w:r w:rsidRPr="00724D83">
        <w:t xml:space="preserve">A </w:t>
      </w:r>
      <w:r w:rsidRPr="00724D83">
        <w:rPr>
          <w:b/>
          <w:bCs/>
        </w:rPr>
        <w:t>defined benefit plan</w:t>
      </w:r>
      <w:r w:rsidRPr="00724D83">
        <w:t xml:space="preserve"> is a plan that provides an agreed amount of pension or lump sum benefits in return for services rendered</w:t>
      </w:r>
      <w:r w:rsidRPr="00724D83">
        <w:rPr>
          <w:b/>
          <w:bCs/>
        </w:rPr>
        <w:t xml:space="preserve">, </w:t>
      </w:r>
      <w:r w:rsidRPr="00724D83">
        <w:t>usually as a function of one or more factors such as age, years of service, or compensation.</w:t>
      </w:r>
    </w:p>
    <w:p w14:paraId="03FF4295" w14:textId="77777777" w:rsidR="00047467" w:rsidRPr="00724D83" w:rsidRDefault="00047467" w:rsidP="002F3690">
      <w:pPr>
        <w:pStyle w:val="Text1"/>
      </w:pPr>
      <w:r w:rsidRPr="00724D83">
        <w:lastRenderedPageBreak/>
        <w:t xml:space="preserve">Under defined benefit plans, the actuarial risk and the investment risk are borne by </w:t>
      </w:r>
      <w:r>
        <w:t>the company</w:t>
      </w:r>
      <w:r w:rsidRPr="00724D83">
        <w:t>. Any post</w:t>
      </w:r>
      <w:r>
        <w:noBreakHyphen/>
      </w:r>
      <w:r w:rsidRPr="00724D83">
        <w:t>employment benefit plan that is not a defined contribution plan is a defined benefit plan.</w:t>
      </w:r>
    </w:p>
    <w:p w14:paraId="03FF4296" w14:textId="4292A58A" w:rsidR="00047467" w:rsidRPr="00724D83" w:rsidRDefault="00047467" w:rsidP="002F3690">
      <w:pPr>
        <w:pStyle w:val="Head1"/>
      </w:pPr>
      <w:r>
        <w:t>9</w:t>
      </w:r>
      <w:r w:rsidRPr="00724D83">
        <w:t>.3.1</w:t>
      </w:r>
      <w:r w:rsidRPr="00724D83">
        <w:tab/>
        <w:t>Defined contribution plan</w:t>
      </w:r>
      <w:r>
        <w:t xml:space="preserve"> </w:t>
      </w:r>
    </w:p>
    <w:p w14:paraId="03FF4297" w14:textId="77777777" w:rsidR="00047467" w:rsidRPr="00473881" w:rsidRDefault="00047467" w:rsidP="002F3690">
      <w:pPr>
        <w:autoSpaceDE w:val="0"/>
        <w:autoSpaceDN w:val="0"/>
        <w:adjustRightInd w:val="0"/>
        <w:spacing w:after="0" w:line="240" w:lineRule="auto"/>
        <w:rPr>
          <w:color w:val="000000"/>
        </w:rPr>
      </w:pPr>
      <w:r>
        <w:rPr>
          <w:color w:val="000000"/>
        </w:rPr>
        <w:t xml:space="preserve">A </w:t>
      </w:r>
      <w:r w:rsidRPr="00473881">
        <w:rPr>
          <w:color w:val="000000"/>
        </w:rPr>
        <w:t>defined contribution</w:t>
      </w:r>
      <w:r>
        <w:rPr>
          <w:color w:val="000000"/>
        </w:rPr>
        <w:t xml:space="preserve"> </w:t>
      </w:r>
      <w:r w:rsidRPr="00473881">
        <w:rPr>
          <w:color w:val="000000"/>
        </w:rPr>
        <w:t>plans</w:t>
      </w:r>
      <w:r>
        <w:rPr>
          <w:color w:val="000000"/>
        </w:rPr>
        <w:t xml:space="preserve"> exists when</w:t>
      </w:r>
      <w:r w:rsidRPr="00473881">
        <w:rPr>
          <w:color w:val="000000"/>
        </w:rPr>
        <w:t>:</w:t>
      </w:r>
    </w:p>
    <w:p w14:paraId="03FF4298" w14:textId="0644A3C0" w:rsidR="00047467" w:rsidRPr="00473881" w:rsidRDefault="0001162E" w:rsidP="002F3690">
      <w:pPr>
        <w:numPr>
          <w:ilvl w:val="0"/>
          <w:numId w:val="59"/>
        </w:numPr>
        <w:autoSpaceDE w:val="0"/>
        <w:autoSpaceDN w:val="0"/>
        <w:adjustRightInd w:val="0"/>
        <w:spacing w:after="0" w:line="240" w:lineRule="auto"/>
        <w:rPr>
          <w:color w:val="000000"/>
        </w:rPr>
      </w:pPr>
      <w:r>
        <w:rPr>
          <w:color w:val="000000"/>
        </w:rPr>
        <w:t>The Group’s</w:t>
      </w:r>
      <w:r w:rsidR="00047467" w:rsidRPr="00473881">
        <w:rPr>
          <w:color w:val="000000"/>
        </w:rPr>
        <w:t xml:space="preserve"> legal or constructive obligation is limited to the amount that it</w:t>
      </w:r>
      <w:r w:rsidR="00047467">
        <w:rPr>
          <w:color w:val="000000"/>
        </w:rPr>
        <w:t xml:space="preserve"> </w:t>
      </w:r>
      <w:r w:rsidR="00047467" w:rsidRPr="00473881">
        <w:rPr>
          <w:color w:val="000000"/>
        </w:rPr>
        <w:t xml:space="preserve">agrees to contribute to the fund. </w:t>
      </w:r>
      <w:r w:rsidR="00047467">
        <w:rPr>
          <w:color w:val="000000"/>
        </w:rPr>
        <w:t xml:space="preserve"> </w:t>
      </w:r>
      <w:r w:rsidR="00047467" w:rsidRPr="00473881">
        <w:rPr>
          <w:color w:val="000000"/>
        </w:rPr>
        <w:t>Thus, the amount of the post-employment</w:t>
      </w:r>
      <w:r w:rsidR="00047467">
        <w:rPr>
          <w:color w:val="000000"/>
        </w:rPr>
        <w:t xml:space="preserve"> </w:t>
      </w:r>
      <w:r w:rsidR="00047467" w:rsidRPr="00473881">
        <w:rPr>
          <w:color w:val="000000"/>
        </w:rPr>
        <w:t>benefits received by the employee is determined by the amount of</w:t>
      </w:r>
      <w:r w:rsidR="00047467">
        <w:rPr>
          <w:color w:val="000000"/>
        </w:rPr>
        <w:t xml:space="preserve"> </w:t>
      </w:r>
      <w:r w:rsidR="00047467" w:rsidRPr="00473881">
        <w:rPr>
          <w:color w:val="000000"/>
        </w:rPr>
        <w:t xml:space="preserve">contributions paid by </w:t>
      </w:r>
      <w:r w:rsidR="00047467">
        <w:rPr>
          <w:color w:val="000000"/>
        </w:rPr>
        <w:t xml:space="preserve">the </w:t>
      </w:r>
      <w:r>
        <w:rPr>
          <w:color w:val="000000"/>
        </w:rPr>
        <w:t>Group</w:t>
      </w:r>
      <w:r w:rsidRPr="00473881">
        <w:rPr>
          <w:color w:val="000000"/>
        </w:rPr>
        <w:t xml:space="preserve"> </w:t>
      </w:r>
      <w:r w:rsidR="00047467" w:rsidRPr="00473881">
        <w:rPr>
          <w:color w:val="000000"/>
        </w:rPr>
        <w:t>(and perhaps also the employee) to a</w:t>
      </w:r>
      <w:r w:rsidR="00047467">
        <w:rPr>
          <w:color w:val="000000"/>
        </w:rPr>
        <w:t xml:space="preserve"> </w:t>
      </w:r>
      <w:r w:rsidR="00047467" w:rsidRPr="00473881">
        <w:rPr>
          <w:color w:val="000000"/>
        </w:rPr>
        <w:t>post-employment benefit plan or to an insurance company, together with</w:t>
      </w:r>
      <w:r w:rsidR="00047467">
        <w:rPr>
          <w:color w:val="000000"/>
        </w:rPr>
        <w:t xml:space="preserve"> </w:t>
      </w:r>
      <w:r w:rsidR="00047467" w:rsidRPr="00473881">
        <w:rPr>
          <w:color w:val="000000"/>
        </w:rPr>
        <w:t>investment returns arising from the contributions; and</w:t>
      </w:r>
    </w:p>
    <w:p w14:paraId="03FF4299" w14:textId="77777777" w:rsidR="00047467" w:rsidRDefault="00047467" w:rsidP="002F3690">
      <w:pPr>
        <w:numPr>
          <w:ilvl w:val="0"/>
          <w:numId w:val="59"/>
        </w:numPr>
        <w:autoSpaceDE w:val="0"/>
        <w:autoSpaceDN w:val="0"/>
        <w:adjustRightInd w:val="0"/>
        <w:spacing w:after="0" w:line="240" w:lineRule="auto"/>
      </w:pPr>
      <w:r w:rsidRPr="00473881">
        <w:t>in consequence, actuarial risk (that benefits will be less than expected) and</w:t>
      </w:r>
      <w:r>
        <w:t xml:space="preserve"> </w:t>
      </w:r>
      <w:r w:rsidRPr="00473881">
        <w:t>investment risk (that assets invested will be insufficient to meet expected</w:t>
      </w:r>
      <w:r>
        <w:t xml:space="preserve"> </w:t>
      </w:r>
      <w:r w:rsidRPr="00473881">
        <w:t>benefits) fall on the employee.</w:t>
      </w:r>
      <w:r>
        <w:t xml:space="preserve"> </w:t>
      </w:r>
    </w:p>
    <w:p w14:paraId="03FF429A" w14:textId="77777777" w:rsidR="00047467" w:rsidRDefault="00047467" w:rsidP="002F3690">
      <w:pPr>
        <w:autoSpaceDE w:val="0"/>
        <w:autoSpaceDN w:val="0"/>
        <w:adjustRightInd w:val="0"/>
        <w:spacing w:after="0" w:line="240" w:lineRule="auto"/>
      </w:pPr>
    </w:p>
    <w:p w14:paraId="03FF429F" w14:textId="1B321457" w:rsidR="00047467" w:rsidRDefault="00047467" w:rsidP="002F3690">
      <w:pPr>
        <w:autoSpaceDE w:val="0"/>
        <w:autoSpaceDN w:val="0"/>
        <w:adjustRightInd w:val="0"/>
        <w:spacing w:after="0" w:line="240" w:lineRule="auto"/>
      </w:pPr>
      <w:r>
        <w:rPr>
          <w:b/>
          <w:bCs/>
          <w:color w:val="000080"/>
          <w:sz w:val="24"/>
          <w:szCs w:val="24"/>
        </w:rPr>
        <w:t xml:space="preserve">State Plans </w:t>
      </w:r>
    </w:p>
    <w:p w14:paraId="03FF42A0" w14:textId="77777777" w:rsidR="00047467" w:rsidRDefault="00047467" w:rsidP="002F3690">
      <w:pPr>
        <w:autoSpaceDE w:val="0"/>
        <w:autoSpaceDN w:val="0"/>
        <w:adjustRightInd w:val="0"/>
        <w:spacing w:after="0" w:line="240" w:lineRule="auto"/>
      </w:pPr>
    </w:p>
    <w:p w14:paraId="03FF42A1" w14:textId="77777777" w:rsidR="00047467" w:rsidRDefault="00047467" w:rsidP="002F3690">
      <w:pPr>
        <w:autoSpaceDE w:val="0"/>
        <w:autoSpaceDN w:val="0"/>
        <w:adjustRightInd w:val="0"/>
        <w:spacing w:after="0" w:line="240" w:lineRule="auto"/>
      </w:pPr>
      <w:r w:rsidRPr="00803F49">
        <w:t>State plans are established by legislation to cover all entities and are operated by national</w:t>
      </w:r>
      <w:r>
        <w:t xml:space="preserve"> </w:t>
      </w:r>
      <w:r w:rsidRPr="00803F49">
        <w:t>or local government or by another body (for example, an autonomous agency</w:t>
      </w:r>
      <w:r>
        <w:t xml:space="preserve"> </w:t>
      </w:r>
      <w:r w:rsidRPr="00803F49">
        <w:t>created specifically for this purpose) which is not subject to control or influence</w:t>
      </w:r>
      <w:r>
        <w:t xml:space="preserve"> </w:t>
      </w:r>
      <w:r w:rsidRPr="00803F49">
        <w:t>by the reporting entity.</w:t>
      </w:r>
    </w:p>
    <w:p w14:paraId="03FF42A2" w14:textId="77777777" w:rsidR="00047467" w:rsidRDefault="00047467" w:rsidP="002F3690">
      <w:pPr>
        <w:autoSpaceDE w:val="0"/>
        <w:autoSpaceDN w:val="0"/>
        <w:adjustRightInd w:val="0"/>
        <w:spacing w:after="0" w:line="240" w:lineRule="auto"/>
      </w:pPr>
    </w:p>
    <w:p w14:paraId="03FF42A5" w14:textId="2322FED2" w:rsidR="00047467" w:rsidRDefault="00047467">
      <w:pPr>
        <w:autoSpaceDE w:val="0"/>
        <w:autoSpaceDN w:val="0"/>
        <w:adjustRightInd w:val="0"/>
        <w:spacing w:after="0" w:line="240" w:lineRule="auto"/>
      </w:pPr>
      <w:r w:rsidRPr="00D37BA8">
        <w:t>State plans are characteri</w:t>
      </w:r>
      <w:r>
        <w:t>z</w:t>
      </w:r>
      <w:r w:rsidRPr="00D37BA8">
        <w:t>ed as defined benefit or defined contribution in nature</w:t>
      </w:r>
      <w:r>
        <w:t xml:space="preserve"> </w:t>
      </w:r>
      <w:r w:rsidRPr="00D37BA8">
        <w:t>based on the entity’s obligation under the plan. Many state plans are funded on</w:t>
      </w:r>
      <w:r>
        <w:t xml:space="preserve"> </w:t>
      </w:r>
      <w:r w:rsidRPr="00D37BA8">
        <w:t>a pay-as-you-go basis: contributions are set at a level that is expected to be</w:t>
      </w:r>
      <w:r>
        <w:t xml:space="preserve"> </w:t>
      </w:r>
      <w:r w:rsidRPr="00D37BA8">
        <w:t>sufficient to pay the required benefits falling due in the same period; future</w:t>
      </w:r>
      <w:r>
        <w:t xml:space="preserve"> </w:t>
      </w:r>
      <w:r w:rsidRPr="00D37BA8">
        <w:t>benefits earned during the current period will be paid out of future</w:t>
      </w:r>
      <w:r>
        <w:t xml:space="preserve"> </w:t>
      </w:r>
      <w:r w:rsidRPr="00D37BA8">
        <w:t>contributions. Nevertheless, in most state plans, the entity has no legal or</w:t>
      </w:r>
      <w:r>
        <w:t xml:space="preserve"> </w:t>
      </w:r>
      <w:r w:rsidRPr="00D37BA8">
        <w:t>constructive obligation to pay those future benefits: its only obligation is to pay</w:t>
      </w:r>
      <w:r>
        <w:t xml:space="preserve"> </w:t>
      </w:r>
      <w:r w:rsidRPr="00D37BA8">
        <w:t>the contributions as they fall due and if the entity ceases to employ members of</w:t>
      </w:r>
      <w:r>
        <w:t xml:space="preserve"> </w:t>
      </w:r>
      <w:r w:rsidRPr="00D37BA8">
        <w:t>the state plan, it will have no obligation to pay the benefits earned by its own</w:t>
      </w:r>
      <w:r>
        <w:t xml:space="preserve"> </w:t>
      </w:r>
      <w:r w:rsidRPr="00D37BA8">
        <w:t xml:space="preserve">employees in previous years. </w:t>
      </w:r>
      <w:r>
        <w:t xml:space="preserve"> </w:t>
      </w:r>
      <w:r w:rsidRPr="00D37BA8">
        <w:t>For this reason, state plans are normally defined</w:t>
      </w:r>
      <w:r>
        <w:t xml:space="preserve"> </w:t>
      </w:r>
      <w:r w:rsidRPr="00D37BA8">
        <w:t>contribution plans. However, in the rare cases when a state plan is a defined</w:t>
      </w:r>
      <w:r>
        <w:t xml:space="preserve"> </w:t>
      </w:r>
      <w:r w:rsidRPr="00D37BA8">
        <w:t xml:space="preserve">benefit plan, an entity applies the </w:t>
      </w:r>
      <w:r w:rsidR="0001162E">
        <w:t>relevant accounting for such.</w:t>
      </w:r>
    </w:p>
    <w:p w14:paraId="03FF42A6" w14:textId="77777777" w:rsidR="00047467" w:rsidRDefault="00047467" w:rsidP="002F3690">
      <w:pPr>
        <w:autoSpaceDE w:val="0"/>
        <w:autoSpaceDN w:val="0"/>
        <w:adjustRightInd w:val="0"/>
        <w:spacing w:after="0" w:line="240" w:lineRule="auto"/>
      </w:pPr>
    </w:p>
    <w:p w14:paraId="03FF42A7" w14:textId="10967E0E" w:rsidR="00047467" w:rsidRPr="00D37746" w:rsidRDefault="00047467" w:rsidP="002F3690">
      <w:pPr>
        <w:autoSpaceDE w:val="0"/>
        <w:autoSpaceDN w:val="0"/>
        <w:adjustRightInd w:val="0"/>
        <w:spacing w:after="0" w:line="240" w:lineRule="auto"/>
        <w:rPr>
          <w:b/>
          <w:bCs/>
          <w:color w:val="000080"/>
          <w:sz w:val="24"/>
          <w:szCs w:val="24"/>
        </w:rPr>
      </w:pPr>
      <w:r w:rsidRPr="00D37746">
        <w:rPr>
          <w:b/>
          <w:bCs/>
          <w:color w:val="000080"/>
          <w:sz w:val="24"/>
          <w:szCs w:val="24"/>
        </w:rPr>
        <w:t>Insured ben</w:t>
      </w:r>
      <w:r>
        <w:rPr>
          <w:b/>
          <w:bCs/>
          <w:color w:val="000080"/>
          <w:sz w:val="24"/>
          <w:szCs w:val="24"/>
        </w:rPr>
        <w:t>e</w:t>
      </w:r>
      <w:r w:rsidRPr="00D37746">
        <w:rPr>
          <w:b/>
          <w:bCs/>
          <w:color w:val="000080"/>
          <w:sz w:val="24"/>
          <w:szCs w:val="24"/>
        </w:rPr>
        <w:t>fits</w:t>
      </w:r>
      <w:r>
        <w:rPr>
          <w:b/>
          <w:bCs/>
          <w:color w:val="000080"/>
          <w:sz w:val="24"/>
          <w:szCs w:val="24"/>
        </w:rPr>
        <w:t xml:space="preserve"> </w:t>
      </w:r>
    </w:p>
    <w:p w14:paraId="03FF42A8" w14:textId="77777777" w:rsidR="00047467" w:rsidRDefault="00047467" w:rsidP="002F3690">
      <w:pPr>
        <w:autoSpaceDE w:val="0"/>
        <w:autoSpaceDN w:val="0"/>
        <w:adjustRightInd w:val="0"/>
        <w:spacing w:after="0" w:line="240" w:lineRule="auto"/>
        <w:rPr>
          <w:rFonts w:ascii="SwiftLTPro-ExtraBold" w:hAnsi="SwiftLTPro-ExtraBold" w:cs="SwiftLTPro-ExtraBold"/>
          <w:b/>
          <w:bCs/>
          <w:sz w:val="16"/>
          <w:szCs w:val="16"/>
        </w:rPr>
      </w:pPr>
    </w:p>
    <w:p w14:paraId="03FF42A9" w14:textId="02007AA3" w:rsidR="00047467" w:rsidRDefault="00047467" w:rsidP="002F3690">
      <w:pPr>
        <w:autoSpaceDE w:val="0"/>
        <w:autoSpaceDN w:val="0"/>
        <w:adjustRightInd w:val="0"/>
        <w:spacing w:after="0" w:line="240" w:lineRule="auto"/>
      </w:pPr>
      <w:r w:rsidRPr="00D37746">
        <w:t>An entity may pay insurance premiums to fund a post-employment benefit plan.</w:t>
      </w:r>
      <w:r>
        <w:t xml:space="preserve"> </w:t>
      </w:r>
      <w:r w:rsidRPr="00D37746">
        <w:t>The entity shall treat such a plan as a defined contribution plan unless the entity</w:t>
      </w:r>
      <w:r>
        <w:t xml:space="preserve"> </w:t>
      </w:r>
      <w:r w:rsidRPr="00D37746">
        <w:t xml:space="preserve">will have (either </w:t>
      </w:r>
      <w:r w:rsidR="00BE3237" w:rsidRPr="00D37746">
        <w:t>directly</w:t>
      </w:r>
      <w:r w:rsidRPr="00D37746">
        <w:t xml:space="preserve"> or indirectly through the plan) a legal or constructive</w:t>
      </w:r>
      <w:r>
        <w:t xml:space="preserve"> </w:t>
      </w:r>
      <w:r w:rsidRPr="00D37746">
        <w:t>obligation to either:</w:t>
      </w:r>
    </w:p>
    <w:p w14:paraId="03FF42AA" w14:textId="77777777" w:rsidR="00047467" w:rsidRPr="00D37746" w:rsidRDefault="00047467" w:rsidP="002F3690">
      <w:pPr>
        <w:autoSpaceDE w:val="0"/>
        <w:autoSpaceDN w:val="0"/>
        <w:adjustRightInd w:val="0"/>
        <w:spacing w:after="0" w:line="240" w:lineRule="auto"/>
      </w:pPr>
    </w:p>
    <w:p w14:paraId="03FF42AB" w14:textId="77777777" w:rsidR="00047467" w:rsidRPr="00D37746" w:rsidRDefault="00047467" w:rsidP="002F3690">
      <w:pPr>
        <w:numPr>
          <w:ilvl w:val="0"/>
          <w:numId w:val="60"/>
        </w:numPr>
        <w:autoSpaceDE w:val="0"/>
        <w:autoSpaceDN w:val="0"/>
        <w:adjustRightInd w:val="0"/>
        <w:spacing w:after="0" w:line="240" w:lineRule="auto"/>
      </w:pPr>
      <w:r w:rsidRPr="00D37746">
        <w:t>pay the employee benefits directly when they fall due; or</w:t>
      </w:r>
    </w:p>
    <w:p w14:paraId="03FF42AC" w14:textId="77777777" w:rsidR="00047467" w:rsidRPr="00D37746" w:rsidRDefault="00047467" w:rsidP="002F3690">
      <w:pPr>
        <w:numPr>
          <w:ilvl w:val="0"/>
          <w:numId w:val="60"/>
        </w:numPr>
        <w:autoSpaceDE w:val="0"/>
        <w:autoSpaceDN w:val="0"/>
        <w:adjustRightInd w:val="0"/>
        <w:spacing w:after="0" w:line="240" w:lineRule="auto"/>
      </w:pPr>
      <w:r w:rsidRPr="00D37746">
        <w:t>pay further amounts if the insurer does not pay all future employee</w:t>
      </w:r>
      <w:r>
        <w:t xml:space="preserve"> </w:t>
      </w:r>
      <w:r w:rsidRPr="00D37746">
        <w:t>benefits relating to employee service in the current and prior periods.</w:t>
      </w:r>
    </w:p>
    <w:p w14:paraId="03FF42AD" w14:textId="77777777" w:rsidR="00047467" w:rsidRDefault="00047467" w:rsidP="002F3690">
      <w:pPr>
        <w:autoSpaceDE w:val="0"/>
        <w:autoSpaceDN w:val="0"/>
        <w:adjustRightInd w:val="0"/>
        <w:spacing w:after="0" w:line="240" w:lineRule="auto"/>
      </w:pPr>
    </w:p>
    <w:p w14:paraId="03FF42AE" w14:textId="77777777" w:rsidR="00047467" w:rsidRDefault="00047467" w:rsidP="002F3690">
      <w:pPr>
        <w:autoSpaceDE w:val="0"/>
        <w:autoSpaceDN w:val="0"/>
        <w:adjustRightInd w:val="0"/>
        <w:spacing w:after="0" w:line="240" w:lineRule="auto"/>
      </w:pPr>
      <w:r w:rsidRPr="00D37746">
        <w:t>If the entity retains such a legal or constructive obligation, the entity shall treat</w:t>
      </w:r>
      <w:r>
        <w:t xml:space="preserve"> the plan as a defined benefit plan.</w:t>
      </w:r>
    </w:p>
    <w:p w14:paraId="03FF42AF" w14:textId="77777777" w:rsidR="00047467" w:rsidRDefault="00047467" w:rsidP="002F3690">
      <w:pPr>
        <w:autoSpaceDE w:val="0"/>
        <w:autoSpaceDN w:val="0"/>
        <w:adjustRightInd w:val="0"/>
        <w:spacing w:after="0" w:line="240" w:lineRule="auto"/>
      </w:pPr>
    </w:p>
    <w:p w14:paraId="03FF42B2" w14:textId="484969D5" w:rsidR="00047467" w:rsidRPr="00724D83" w:rsidRDefault="00047467" w:rsidP="002F3690">
      <w:pPr>
        <w:pStyle w:val="Head1"/>
      </w:pPr>
      <w:r w:rsidRPr="00724D83">
        <w:t>Accounting for defined contribution plans</w:t>
      </w:r>
      <w:r>
        <w:t xml:space="preserve"> </w:t>
      </w:r>
    </w:p>
    <w:p w14:paraId="03FF42B3" w14:textId="6C79E419" w:rsidR="00047467" w:rsidRPr="00724D83" w:rsidRDefault="00047467" w:rsidP="002F3690">
      <w:pPr>
        <w:pStyle w:val="Text1"/>
      </w:pPr>
      <w:r w:rsidRPr="00724D83">
        <w:t xml:space="preserve">Accounting for defined contribution plans is straightforward because </w:t>
      </w:r>
      <w:r>
        <w:t xml:space="preserve">the </w:t>
      </w:r>
      <w:r w:rsidR="0001162E">
        <w:t>Group</w:t>
      </w:r>
      <w:r w:rsidR="0001162E" w:rsidRPr="00724D83">
        <w:t xml:space="preserve">’s </w:t>
      </w:r>
      <w:r w:rsidRPr="00724D83">
        <w:t>obligation for each period is determined by the amounts to be contributed for that period.</w:t>
      </w:r>
    </w:p>
    <w:p w14:paraId="03FF42B4" w14:textId="77777777" w:rsidR="00047467" w:rsidRPr="00724D83" w:rsidRDefault="00047467" w:rsidP="002F3690">
      <w:pPr>
        <w:pStyle w:val="Text1"/>
      </w:pPr>
      <w:r w:rsidRPr="00724D83">
        <w:t>No actuarial assumptions are required to measure the obligation or the expense and there is no possibility of any actuarial gain or loss.</w:t>
      </w:r>
    </w:p>
    <w:p w14:paraId="03FF42B5" w14:textId="77777777" w:rsidR="00047467" w:rsidRDefault="00047467" w:rsidP="002F3690">
      <w:pPr>
        <w:pStyle w:val="Text1"/>
      </w:pPr>
      <w:r w:rsidRPr="00724D83">
        <w:t>The obligations are measured on an undiscounted basis. The Net Periodic Pension Cost of a defined contribution plan is the amount of contributions in the accounting period that are made or to be made to the individual accounts of participants who performed services during that same period.</w:t>
      </w:r>
    </w:p>
    <w:p w14:paraId="03FF42B6" w14:textId="676D60B5" w:rsidR="00047467" w:rsidRPr="00724D83" w:rsidRDefault="00047467" w:rsidP="002F3690">
      <w:pPr>
        <w:pStyle w:val="Text1"/>
      </w:pPr>
      <w:r>
        <w:t xml:space="preserve">The </w:t>
      </w:r>
      <w:r w:rsidR="0001162E">
        <w:t>Group</w:t>
      </w:r>
      <w:r>
        <w:t xml:space="preserve"> </w:t>
      </w:r>
      <w:r w:rsidR="00BE3237">
        <w:t>recognizes</w:t>
      </w:r>
      <w:r>
        <w:t xml:space="preserve"> its contributions as expense in the period the obligation was incurred (accrual basis).</w:t>
      </w:r>
    </w:p>
    <w:p w14:paraId="03FF42B7" w14:textId="77777777" w:rsidR="00047467" w:rsidRPr="00724D83" w:rsidRDefault="00047467" w:rsidP="002F3690">
      <w:pPr>
        <w:pStyle w:val="Head1"/>
      </w:pPr>
      <w:r>
        <w:t>9</w:t>
      </w:r>
      <w:r w:rsidRPr="00724D83">
        <w:t>.3.2</w:t>
      </w:r>
      <w:r w:rsidRPr="00724D83">
        <w:tab/>
        <w:t>Defined benefit plans</w:t>
      </w:r>
      <w:r>
        <w:t xml:space="preserve"> </w:t>
      </w:r>
    </w:p>
    <w:p w14:paraId="03FF42B8" w14:textId="2E5ECDFF" w:rsidR="00047467" w:rsidRDefault="00047467" w:rsidP="002F3690">
      <w:pPr>
        <w:pStyle w:val="Text1"/>
        <w:keepLines/>
      </w:pPr>
      <w:r>
        <w:t xml:space="preserve">Any plan that is not a Defined Contribution Plan is a Defined </w:t>
      </w:r>
      <w:r w:rsidR="0001162E">
        <w:t>B</w:t>
      </w:r>
      <w:r>
        <w:t>enefit Plan.</w:t>
      </w:r>
    </w:p>
    <w:p w14:paraId="03FF42BA" w14:textId="77777777" w:rsidR="00047467" w:rsidRPr="00724D83" w:rsidRDefault="00047467" w:rsidP="002F3690">
      <w:pPr>
        <w:pStyle w:val="Head1"/>
      </w:pPr>
      <w:r w:rsidRPr="00724D83">
        <w:t>Accounting for defined benefit plans</w:t>
      </w:r>
      <w:r>
        <w:t xml:space="preserve"> [IAS 19.48]</w:t>
      </w:r>
    </w:p>
    <w:p w14:paraId="03FF42BB" w14:textId="77777777" w:rsidR="00047467" w:rsidRPr="00724D83" w:rsidRDefault="00047467" w:rsidP="002F3690">
      <w:pPr>
        <w:pStyle w:val="Text1kwn"/>
      </w:pPr>
      <w:r w:rsidRPr="00724D83">
        <w:t>Accounting for defined benefit plans is complex because:</w:t>
      </w:r>
    </w:p>
    <w:p w14:paraId="03FF42BC" w14:textId="77777777" w:rsidR="00047467" w:rsidRPr="00724D83" w:rsidRDefault="00047467" w:rsidP="002F3690">
      <w:pPr>
        <w:pStyle w:val="SquareBullet"/>
        <w:ind w:left="360"/>
      </w:pPr>
      <w:r w:rsidRPr="00724D83">
        <w:t>Actuarial assumptions are required to measure the obligation and the expense and there is a possibility of actuarial gains and losses, and</w:t>
      </w:r>
    </w:p>
    <w:p w14:paraId="03FF42BD" w14:textId="77777777" w:rsidR="00047467" w:rsidRPr="00724D83" w:rsidRDefault="00047467" w:rsidP="002F3690">
      <w:pPr>
        <w:pStyle w:val="SquareBulletLast"/>
        <w:ind w:left="360"/>
      </w:pPr>
      <w:r w:rsidRPr="00724D83">
        <w:t>The obligations are measured on a discounted basis because they may be settled many years after the employees render the related service.</w:t>
      </w:r>
    </w:p>
    <w:p w14:paraId="03FF42BE" w14:textId="2E10EEE5" w:rsidR="00047467" w:rsidRPr="00724D83" w:rsidRDefault="0001162E" w:rsidP="002F3690">
      <w:pPr>
        <w:pStyle w:val="Text1"/>
      </w:pPr>
      <w:r>
        <w:t>The Group</w:t>
      </w:r>
      <w:r w:rsidRPr="00724D83">
        <w:t xml:space="preserve"> </w:t>
      </w:r>
      <w:r w:rsidR="00047467" w:rsidRPr="00724D83">
        <w:t>uses a qualified actuary to determine the defined benefit obligation on an annual basis.</w:t>
      </w:r>
    </w:p>
    <w:p w14:paraId="03FF42BF" w14:textId="77777777" w:rsidR="00047467" w:rsidRPr="00724D83" w:rsidRDefault="00047467" w:rsidP="002F3690">
      <w:pPr>
        <w:pStyle w:val="Head1"/>
      </w:pPr>
      <w:r w:rsidRPr="00724D83">
        <w:t>Funded status</w:t>
      </w:r>
    </w:p>
    <w:p w14:paraId="03FF42C0" w14:textId="5AA9A36D" w:rsidR="00047467" w:rsidRPr="00724D83" w:rsidRDefault="00047467" w:rsidP="002F3690">
      <w:pPr>
        <w:pStyle w:val="Text1kwn"/>
      </w:pPr>
      <w:r w:rsidRPr="00724D83">
        <w:t xml:space="preserve">The funded status of the benefit plans, i.e. the extent to which the benefit obligations are covered by </w:t>
      </w:r>
      <w:r>
        <w:t xml:space="preserve">the </w:t>
      </w:r>
      <w:r w:rsidR="0001162E">
        <w:t>Group</w:t>
      </w:r>
      <w:r w:rsidRPr="00724D83">
        <w:t>’s contributions into the dedicated fund, results from the difference between:</w:t>
      </w:r>
    </w:p>
    <w:p w14:paraId="03FF42C1" w14:textId="77777777" w:rsidR="00047467" w:rsidRPr="00724D83" w:rsidRDefault="00047467" w:rsidP="002F3690">
      <w:pPr>
        <w:pStyle w:val="SquareBullet"/>
        <w:ind w:left="360"/>
      </w:pPr>
      <w:r w:rsidRPr="00724D83">
        <w:t xml:space="preserve">The </w:t>
      </w:r>
      <w:r w:rsidRPr="00796E47">
        <w:t>projected benefit obligation</w:t>
      </w:r>
      <w:r w:rsidRPr="00724D83">
        <w:t>, and</w:t>
      </w:r>
      <w:r>
        <w:t xml:space="preserve"> </w:t>
      </w:r>
    </w:p>
    <w:p w14:paraId="03FF42C2" w14:textId="38EF7D71" w:rsidR="00047467" w:rsidRPr="00724D83" w:rsidRDefault="00047467" w:rsidP="002F3690">
      <w:pPr>
        <w:pStyle w:val="SquareBulletLast"/>
        <w:ind w:left="360"/>
      </w:pPr>
      <w:r w:rsidRPr="00724D83">
        <w:t>The fair value of plan assets, if any.</w:t>
      </w:r>
    </w:p>
    <w:p w14:paraId="03FF42C3" w14:textId="56AC20A8" w:rsidR="00047467" w:rsidRPr="00724D83" w:rsidRDefault="00047467" w:rsidP="002F3690">
      <w:pPr>
        <w:pStyle w:val="Head1"/>
      </w:pPr>
      <w:r w:rsidRPr="00724D83">
        <w:lastRenderedPageBreak/>
        <w:t>Balance Sheet: Defined benefit liability</w:t>
      </w:r>
      <w:r>
        <w:t xml:space="preserve"> </w:t>
      </w:r>
    </w:p>
    <w:p w14:paraId="03FF42C4" w14:textId="77777777" w:rsidR="00047467" w:rsidRPr="00724D83" w:rsidRDefault="00047467" w:rsidP="002F3690">
      <w:pPr>
        <w:pStyle w:val="Text1kwn"/>
      </w:pPr>
      <w:r w:rsidRPr="00724D83">
        <w:t>The amount recognized as a defined benefit liability is the net total of the following amounts:</w:t>
      </w:r>
    </w:p>
    <w:tbl>
      <w:tblPr>
        <w:tblW w:w="4750" w:type="pct"/>
        <w:jc w:val="center"/>
        <w:tblLook w:val="0000" w:firstRow="0" w:lastRow="0" w:firstColumn="0" w:lastColumn="0" w:noHBand="0" w:noVBand="0"/>
      </w:tblPr>
      <w:tblGrid>
        <w:gridCol w:w="397"/>
        <w:gridCol w:w="8495"/>
      </w:tblGrid>
      <w:tr w:rsidR="00047467" w:rsidRPr="00724D83" w14:paraId="03FF42C7" w14:textId="77777777" w:rsidTr="0098070F">
        <w:trPr>
          <w:trHeight w:val="438"/>
          <w:jc w:val="center"/>
        </w:trPr>
        <w:tc>
          <w:tcPr>
            <w:tcW w:w="390" w:type="dxa"/>
            <w:tcBorders>
              <w:top w:val="single" w:sz="4" w:space="0" w:color="000000"/>
              <w:left w:val="single" w:sz="4" w:space="0" w:color="000000"/>
              <w:bottom w:val="single" w:sz="4" w:space="0" w:color="000000"/>
            </w:tcBorders>
            <w:shd w:val="clear" w:color="auto" w:fill="E6E6E6"/>
            <w:vAlign w:val="center"/>
          </w:tcPr>
          <w:p w14:paraId="03FF42C5" w14:textId="77777777" w:rsidR="00047467" w:rsidRPr="00724D83" w:rsidRDefault="00047467" w:rsidP="0098070F">
            <w:pPr>
              <w:pStyle w:val="Default"/>
              <w:jc w:val="center"/>
              <w:rPr>
                <w:b/>
              </w:rPr>
            </w:pPr>
            <w:r w:rsidRPr="00724D83">
              <w:rPr>
                <w:b/>
              </w:rPr>
              <w:t>+</w:t>
            </w:r>
          </w:p>
        </w:tc>
        <w:tc>
          <w:tcPr>
            <w:tcW w:w="8335" w:type="dxa"/>
            <w:tcBorders>
              <w:top w:val="single" w:sz="4" w:space="0" w:color="000000"/>
              <w:bottom w:val="single" w:sz="4" w:space="0" w:color="000000"/>
              <w:right w:val="single" w:sz="4" w:space="0" w:color="000000"/>
            </w:tcBorders>
            <w:shd w:val="clear" w:color="auto" w:fill="E6E6E6"/>
          </w:tcPr>
          <w:p w14:paraId="03FF42C6" w14:textId="77777777" w:rsidR="00047467" w:rsidRPr="00724D83" w:rsidRDefault="00047467" w:rsidP="0098070F">
            <w:pPr>
              <w:pStyle w:val="Default"/>
              <w:rPr>
                <w:sz w:val="22"/>
                <w:szCs w:val="22"/>
              </w:rPr>
            </w:pPr>
            <w:r w:rsidRPr="00724D83">
              <w:rPr>
                <w:sz w:val="22"/>
                <w:szCs w:val="22"/>
              </w:rPr>
              <w:t xml:space="preserve">The present value of the defined benefit obligation at the balance sheet date; </w:t>
            </w:r>
          </w:p>
        </w:tc>
      </w:tr>
      <w:tr w:rsidR="00047467" w:rsidRPr="00724D83" w14:paraId="03FF42CA" w14:textId="77777777" w:rsidTr="0098070F">
        <w:trPr>
          <w:trHeight w:val="423"/>
          <w:jc w:val="center"/>
        </w:trPr>
        <w:tc>
          <w:tcPr>
            <w:tcW w:w="390" w:type="dxa"/>
            <w:tcBorders>
              <w:top w:val="single" w:sz="4" w:space="0" w:color="000000"/>
              <w:left w:val="single" w:sz="4" w:space="0" w:color="000000"/>
              <w:bottom w:val="single" w:sz="4" w:space="0" w:color="000000"/>
            </w:tcBorders>
            <w:shd w:val="clear" w:color="auto" w:fill="E6E6E6"/>
            <w:vAlign w:val="center"/>
          </w:tcPr>
          <w:p w14:paraId="03FF42C8" w14:textId="77777777" w:rsidR="00047467" w:rsidRPr="00724D83" w:rsidRDefault="00047467" w:rsidP="0098070F">
            <w:pPr>
              <w:pStyle w:val="Default"/>
              <w:jc w:val="center"/>
              <w:rPr>
                <w:b/>
              </w:rPr>
            </w:pPr>
            <w:r w:rsidRPr="00724D83">
              <w:rPr>
                <w:b/>
              </w:rPr>
              <w:t>+</w:t>
            </w:r>
          </w:p>
        </w:tc>
        <w:tc>
          <w:tcPr>
            <w:tcW w:w="8335" w:type="dxa"/>
            <w:tcBorders>
              <w:top w:val="single" w:sz="4" w:space="0" w:color="000000"/>
              <w:bottom w:val="single" w:sz="4" w:space="0" w:color="000000"/>
              <w:right w:val="single" w:sz="4" w:space="0" w:color="000000"/>
            </w:tcBorders>
            <w:shd w:val="clear" w:color="auto" w:fill="E6E6E6"/>
          </w:tcPr>
          <w:p w14:paraId="03FF42C9" w14:textId="77777777" w:rsidR="00047467" w:rsidRPr="00724D83" w:rsidRDefault="00047467" w:rsidP="0098070F">
            <w:pPr>
              <w:pStyle w:val="Default"/>
              <w:rPr>
                <w:sz w:val="22"/>
                <w:szCs w:val="22"/>
              </w:rPr>
            </w:pPr>
            <w:r w:rsidRPr="00724D83">
              <w:rPr>
                <w:sz w:val="22"/>
                <w:szCs w:val="22"/>
              </w:rPr>
              <w:t xml:space="preserve">Any unrecognized actuarial gains (less any actuarial losses); </w:t>
            </w:r>
          </w:p>
        </w:tc>
      </w:tr>
      <w:tr w:rsidR="00047467" w:rsidRPr="00724D83" w14:paraId="03FF42CD" w14:textId="77777777" w:rsidTr="0098070F">
        <w:trPr>
          <w:trHeight w:val="480"/>
          <w:jc w:val="center"/>
        </w:trPr>
        <w:tc>
          <w:tcPr>
            <w:tcW w:w="390" w:type="dxa"/>
            <w:tcBorders>
              <w:top w:val="single" w:sz="4" w:space="0" w:color="000000"/>
              <w:left w:val="single" w:sz="4" w:space="0" w:color="000000"/>
              <w:bottom w:val="single" w:sz="4" w:space="0" w:color="000000"/>
            </w:tcBorders>
            <w:shd w:val="clear" w:color="auto" w:fill="E6E6E6"/>
            <w:vAlign w:val="center"/>
          </w:tcPr>
          <w:p w14:paraId="03FF42CB" w14:textId="77777777" w:rsidR="00047467" w:rsidRPr="00724D83" w:rsidRDefault="00047467" w:rsidP="0098070F">
            <w:pPr>
              <w:pStyle w:val="Default"/>
              <w:jc w:val="center"/>
              <w:rPr>
                <w:b/>
                <w:color w:val="000080"/>
                <w:sz w:val="28"/>
                <w:szCs w:val="28"/>
              </w:rPr>
            </w:pPr>
            <w:r>
              <w:rPr>
                <w:b/>
                <w:color w:val="000080"/>
                <w:sz w:val="28"/>
                <w:szCs w:val="28"/>
              </w:rPr>
              <w:noBreakHyphen/>
            </w:r>
          </w:p>
        </w:tc>
        <w:tc>
          <w:tcPr>
            <w:tcW w:w="8335" w:type="dxa"/>
            <w:tcBorders>
              <w:top w:val="single" w:sz="4" w:space="0" w:color="000000"/>
              <w:bottom w:val="single" w:sz="4" w:space="0" w:color="000000"/>
              <w:right w:val="single" w:sz="4" w:space="0" w:color="000000"/>
            </w:tcBorders>
            <w:shd w:val="clear" w:color="auto" w:fill="E6E6E6"/>
            <w:vAlign w:val="center"/>
          </w:tcPr>
          <w:p w14:paraId="03FF42CC" w14:textId="77777777" w:rsidR="00047467" w:rsidRPr="00724D83" w:rsidRDefault="00047467" w:rsidP="0098070F">
            <w:pPr>
              <w:pStyle w:val="Default"/>
              <w:rPr>
                <w:sz w:val="22"/>
                <w:szCs w:val="22"/>
              </w:rPr>
            </w:pPr>
            <w:r w:rsidRPr="00724D83">
              <w:rPr>
                <w:sz w:val="22"/>
                <w:szCs w:val="22"/>
              </w:rPr>
              <w:t>Minus any past service cost not yet recognized; (</w:t>
            </w:r>
            <w:r w:rsidRPr="00724D83">
              <w:rPr>
                <w:i/>
                <w:iCs/>
                <w:color w:val="000080"/>
                <w:sz w:val="22"/>
                <w:szCs w:val="22"/>
              </w:rPr>
              <w:t>see income statement recognition section</w:t>
            </w:r>
            <w:r w:rsidRPr="00724D83">
              <w:rPr>
                <w:sz w:val="22"/>
                <w:szCs w:val="22"/>
              </w:rPr>
              <w:t xml:space="preserve">) </w:t>
            </w:r>
          </w:p>
        </w:tc>
      </w:tr>
      <w:tr w:rsidR="00047467" w:rsidRPr="00724D83" w14:paraId="03FF42D0" w14:textId="77777777" w:rsidTr="0098070F">
        <w:trPr>
          <w:trHeight w:val="615"/>
          <w:jc w:val="center"/>
        </w:trPr>
        <w:tc>
          <w:tcPr>
            <w:tcW w:w="390" w:type="dxa"/>
            <w:tcBorders>
              <w:top w:val="single" w:sz="4" w:space="0" w:color="000000"/>
              <w:left w:val="single" w:sz="4" w:space="0" w:color="000000"/>
              <w:bottom w:val="single" w:sz="4" w:space="0" w:color="000000"/>
            </w:tcBorders>
            <w:shd w:val="clear" w:color="auto" w:fill="E6E6E6"/>
          </w:tcPr>
          <w:p w14:paraId="03FF42CE" w14:textId="77777777" w:rsidR="00047467" w:rsidRPr="00724D83" w:rsidRDefault="00047467" w:rsidP="0098070F">
            <w:pPr>
              <w:pStyle w:val="Default"/>
              <w:jc w:val="center"/>
              <w:rPr>
                <w:b/>
                <w:color w:val="000080"/>
                <w:sz w:val="28"/>
                <w:szCs w:val="28"/>
              </w:rPr>
            </w:pPr>
            <w:r>
              <w:rPr>
                <w:b/>
                <w:color w:val="000080"/>
                <w:sz w:val="28"/>
                <w:szCs w:val="28"/>
              </w:rPr>
              <w:noBreakHyphen/>
            </w:r>
          </w:p>
        </w:tc>
        <w:tc>
          <w:tcPr>
            <w:tcW w:w="8335" w:type="dxa"/>
            <w:tcBorders>
              <w:top w:val="single" w:sz="4" w:space="0" w:color="000000"/>
              <w:bottom w:val="single" w:sz="4" w:space="0" w:color="000000"/>
              <w:right w:val="single" w:sz="4" w:space="0" w:color="000000"/>
            </w:tcBorders>
            <w:shd w:val="clear" w:color="auto" w:fill="E6E6E6"/>
            <w:vAlign w:val="center"/>
          </w:tcPr>
          <w:p w14:paraId="03FF42CF" w14:textId="77777777" w:rsidR="00047467" w:rsidRPr="00724D83" w:rsidRDefault="00047467" w:rsidP="0098070F">
            <w:pPr>
              <w:pStyle w:val="Default"/>
              <w:rPr>
                <w:sz w:val="22"/>
                <w:szCs w:val="22"/>
              </w:rPr>
            </w:pPr>
            <w:r w:rsidRPr="00724D83">
              <w:rPr>
                <w:sz w:val="22"/>
                <w:szCs w:val="22"/>
              </w:rPr>
              <w:t xml:space="preserve">Minus the fair value at the balance sheet date of plan assets (if any) out of which the obligations are to be settled directly. </w:t>
            </w:r>
          </w:p>
        </w:tc>
      </w:tr>
    </w:tbl>
    <w:p w14:paraId="03FF42D1" w14:textId="77777777" w:rsidR="00047467" w:rsidRPr="00724D83" w:rsidRDefault="00047467" w:rsidP="002F3690">
      <w:pPr>
        <w:pStyle w:val="Text1"/>
      </w:pPr>
    </w:p>
    <w:p w14:paraId="03FF42D2" w14:textId="77777777" w:rsidR="00047467" w:rsidRPr="00724D83" w:rsidRDefault="00047467" w:rsidP="002F3690">
      <w:pPr>
        <w:pStyle w:val="Text1"/>
      </w:pPr>
      <w:r w:rsidRPr="00724D83">
        <w:t>When the calculation results in a benefit to the Group, the recognized asset is limited to the net total of any unrecognized past service costs and the present value of any future refunds from the plan or reductions in future contributions to the plan.</w:t>
      </w:r>
    </w:p>
    <w:p w14:paraId="03FF42D3" w14:textId="246DA73F" w:rsidR="00047467" w:rsidRPr="00724D83" w:rsidRDefault="00047467" w:rsidP="002F3690">
      <w:pPr>
        <w:pStyle w:val="Head1"/>
      </w:pPr>
      <w:r w:rsidRPr="00724D83">
        <w:t>Present value of defined benefit obligation</w:t>
      </w:r>
      <w:r>
        <w:t xml:space="preserve"> </w:t>
      </w:r>
    </w:p>
    <w:p w14:paraId="03FF42D4" w14:textId="1DB5EA0A" w:rsidR="00047467" w:rsidRPr="00724D83" w:rsidRDefault="00047467" w:rsidP="002F3690">
      <w:pPr>
        <w:pStyle w:val="Text1"/>
      </w:pPr>
      <w:r>
        <w:t xml:space="preserve">The </w:t>
      </w:r>
      <w:r w:rsidR="0001162E">
        <w:t>Group</w:t>
      </w:r>
      <w:r w:rsidRPr="00724D83">
        <w:t xml:space="preserve"> uses actuarial techniques to make a reliable estimate of the amount of benefit that employees have earned in return for their service in the current and prior periods as of the balance sheet date. Actuarial assumptions about demographic variables (such as employee turnover and mortality) and financial variables (such as future increases in salaries and medical costs) are used by the </w:t>
      </w:r>
      <w:r>
        <w:t>Company</w:t>
      </w:r>
      <w:r w:rsidRPr="00724D83">
        <w:t>’s actuaries to determine the cost of the benefits. The calculated benefits are discounted using the Projected Unit Credit Method in order to determine the present value of the defined benefit obligation.</w:t>
      </w:r>
    </w:p>
    <w:p w14:paraId="03FF42D5" w14:textId="66E0466A" w:rsidR="00047467" w:rsidRPr="00724D83" w:rsidRDefault="00047467" w:rsidP="002F3690">
      <w:pPr>
        <w:pStyle w:val="Head1"/>
      </w:pPr>
      <w:r w:rsidRPr="00724D83">
        <w:t>Actuarial gains and losses</w:t>
      </w:r>
      <w:r>
        <w:t xml:space="preserve"> </w:t>
      </w:r>
    </w:p>
    <w:p w14:paraId="03FF42D6" w14:textId="77777777" w:rsidR="00047467" w:rsidRPr="00724D83" w:rsidRDefault="00047467" w:rsidP="002F3690">
      <w:pPr>
        <w:pStyle w:val="Text1"/>
      </w:pPr>
      <w:r w:rsidRPr="00724D83">
        <w:t>Considering the uncertainties inherent in predicting the evolution of both the benefit obligation and the value of assets, the funded status of the employee benefit plan is likely to evolve outside expectations from one year to another.</w:t>
      </w:r>
    </w:p>
    <w:p w14:paraId="03FF42D7" w14:textId="77777777" w:rsidR="00047467" w:rsidRPr="00724D83" w:rsidRDefault="00047467" w:rsidP="002F3690">
      <w:pPr>
        <w:pStyle w:val="Text1kwn"/>
      </w:pPr>
      <w:r w:rsidRPr="00724D83">
        <w:t>Actuarial gains and losses are the changes in the amount of either the projected benefit obligation or plan assets resulting from:</w:t>
      </w:r>
    </w:p>
    <w:p w14:paraId="03FF42D8" w14:textId="77777777" w:rsidR="00047467" w:rsidRPr="00724D83" w:rsidRDefault="00047467" w:rsidP="002F3690">
      <w:pPr>
        <w:pStyle w:val="Text1kwn"/>
      </w:pPr>
      <w:r w:rsidRPr="00724D83">
        <w:rPr>
          <w:b/>
          <w:bCs/>
        </w:rPr>
        <w:t xml:space="preserve">Experience </w:t>
      </w:r>
      <w:r w:rsidRPr="00724D83">
        <w:t>different from that assumed, for example:</w:t>
      </w:r>
    </w:p>
    <w:p w14:paraId="03FF42D9" w14:textId="77777777" w:rsidR="00047467" w:rsidRPr="00724D83" w:rsidRDefault="00047467" w:rsidP="002F3690">
      <w:pPr>
        <w:pStyle w:val="SquareBullet"/>
        <w:ind w:left="360"/>
      </w:pPr>
      <w:r w:rsidRPr="00724D83">
        <w:t>A turnover higher than expected (actuarial gain)</w:t>
      </w:r>
    </w:p>
    <w:p w14:paraId="03FF42DA" w14:textId="77777777" w:rsidR="00047467" w:rsidRPr="00724D83" w:rsidRDefault="00047467" w:rsidP="002F3690">
      <w:pPr>
        <w:pStyle w:val="SquareBulletLast"/>
        <w:ind w:left="360"/>
      </w:pPr>
      <w:r w:rsidRPr="00724D83">
        <w:t>A return on plan assets below expectations (actuarial loss)</w:t>
      </w:r>
    </w:p>
    <w:p w14:paraId="03FF42DB" w14:textId="77777777" w:rsidR="00047467" w:rsidRPr="00724D83" w:rsidRDefault="00047467" w:rsidP="002F3690">
      <w:pPr>
        <w:pStyle w:val="Text1kwn"/>
      </w:pPr>
      <w:r w:rsidRPr="00724D83">
        <w:lastRenderedPageBreak/>
        <w:t>Changes in actuarial assumptions, for example:</w:t>
      </w:r>
    </w:p>
    <w:p w14:paraId="03FF42DC" w14:textId="77777777" w:rsidR="00047467" w:rsidRPr="00724D83" w:rsidRDefault="00047467" w:rsidP="002F3690">
      <w:pPr>
        <w:pStyle w:val="SquareBulletLast"/>
        <w:ind w:left="360"/>
      </w:pPr>
      <w:r w:rsidRPr="00724D83">
        <w:t>A decrease in the discount rate (actuarial loss)</w:t>
      </w:r>
    </w:p>
    <w:p w14:paraId="03FF42DD" w14:textId="11FC83FD" w:rsidR="00047467" w:rsidRPr="00F95337" w:rsidRDefault="00047467" w:rsidP="002F3690">
      <w:pPr>
        <w:pStyle w:val="Text1"/>
        <w:rPr>
          <w:color w:val="auto"/>
        </w:rPr>
      </w:pPr>
      <w:r w:rsidRPr="00F95337">
        <w:rPr>
          <w:color w:val="auto"/>
        </w:rPr>
        <w:t xml:space="preserve">The </w:t>
      </w:r>
      <w:r w:rsidR="0001162E">
        <w:rPr>
          <w:color w:val="auto"/>
        </w:rPr>
        <w:t>Group</w:t>
      </w:r>
      <w:r w:rsidR="0001162E" w:rsidRPr="00F95337">
        <w:rPr>
          <w:color w:val="auto"/>
        </w:rPr>
        <w:t xml:space="preserve"> </w:t>
      </w:r>
      <w:r w:rsidRPr="00F95337">
        <w:rPr>
          <w:color w:val="auto"/>
        </w:rPr>
        <w:t>has opted to recognize such actuarial gains and losses in the year they arise</w:t>
      </w:r>
      <w:r w:rsidR="0001162E">
        <w:rPr>
          <w:color w:val="auto"/>
        </w:rPr>
        <w:t>.</w:t>
      </w:r>
      <w:r w:rsidRPr="00F95337">
        <w:rPr>
          <w:color w:val="auto"/>
        </w:rPr>
        <w:t xml:space="preserve"> </w:t>
      </w:r>
    </w:p>
    <w:p w14:paraId="03FF42DE" w14:textId="77777777" w:rsidR="00047467" w:rsidRPr="00724D83" w:rsidRDefault="00047467" w:rsidP="002F3690">
      <w:pPr>
        <w:pStyle w:val="Head1"/>
      </w:pPr>
      <w:r w:rsidRPr="00724D83">
        <w:t>Timing of valuation</w:t>
      </w:r>
    </w:p>
    <w:p w14:paraId="03FF42DF" w14:textId="5A245BA9" w:rsidR="00047467" w:rsidRPr="00724D83" w:rsidRDefault="0050105D" w:rsidP="002F3690">
      <w:pPr>
        <w:pStyle w:val="Text1"/>
      </w:pPr>
      <w:r>
        <w:t>An a</w:t>
      </w:r>
      <w:r w:rsidR="00047467" w:rsidRPr="00724D83">
        <w:t>ctuarial valuation is required once a year</w:t>
      </w:r>
      <w:r w:rsidR="00047467">
        <w:t xml:space="preserve">.   The </w:t>
      </w:r>
      <w:r w:rsidR="0001162E">
        <w:t xml:space="preserve">Group </w:t>
      </w:r>
      <w:r w:rsidR="00047467">
        <w:t>typically engages an actuarial to perform this calculation at each calendar year end.</w:t>
      </w:r>
    </w:p>
    <w:p w14:paraId="03FF42E0" w14:textId="3FDD35F1" w:rsidR="00047467" w:rsidRPr="00724D83" w:rsidRDefault="00047467" w:rsidP="002F3690">
      <w:pPr>
        <w:pStyle w:val="Head1"/>
      </w:pPr>
      <w:r w:rsidRPr="00724D83">
        <w:t>Fair value of plan assets</w:t>
      </w:r>
      <w:r>
        <w:t xml:space="preserve"> </w:t>
      </w:r>
    </w:p>
    <w:p w14:paraId="03FF42E1" w14:textId="77777777" w:rsidR="00047467" w:rsidRPr="00724D83" w:rsidRDefault="00047467" w:rsidP="002F3690">
      <w:pPr>
        <w:pStyle w:val="Text1kwn"/>
      </w:pPr>
      <w:r w:rsidRPr="00724D83">
        <w:t xml:space="preserve">Plan assets </w:t>
      </w:r>
      <w:r>
        <w:t xml:space="preserve">are </w:t>
      </w:r>
      <w:r w:rsidRPr="00724D83">
        <w:t>comprise</w:t>
      </w:r>
      <w:r>
        <w:t>d</w:t>
      </w:r>
      <w:r w:rsidRPr="00724D83">
        <w:t xml:space="preserve"> of assets held by a long</w:t>
      </w:r>
      <w:r>
        <w:noBreakHyphen/>
      </w:r>
      <w:r w:rsidRPr="00724D83">
        <w:t>term employee benefit fund that:</w:t>
      </w:r>
    </w:p>
    <w:p w14:paraId="03FF42E2" w14:textId="3DAA652B" w:rsidR="00047467" w:rsidRPr="00724D83" w:rsidRDefault="00047467" w:rsidP="002F3690">
      <w:pPr>
        <w:pStyle w:val="Text1"/>
        <w:tabs>
          <w:tab w:val="left" w:pos="720"/>
        </w:tabs>
        <w:ind w:left="720" w:hanging="360"/>
      </w:pPr>
      <w:r w:rsidRPr="00724D83">
        <w:t>A.</w:t>
      </w:r>
      <w:r w:rsidRPr="00724D83">
        <w:tab/>
        <w:t xml:space="preserve">are held by a fund that is legally separate from </w:t>
      </w:r>
      <w:r>
        <w:t xml:space="preserve">the </w:t>
      </w:r>
      <w:r w:rsidR="003D34E1">
        <w:t>Group</w:t>
      </w:r>
      <w:r w:rsidR="003D34E1" w:rsidRPr="00724D83">
        <w:t xml:space="preserve"> </w:t>
      </w:r>
      <w:r w:rsidRPr="00724D83">
        <w:t>and exists solely to pay or fund employee benefits; and</w:t>
      </w:r>
    </w:p>
    <w:p w14:paraId="03FF42E3" w14:textId="5FE7F4AF" w:rsidR="00047467" w:rsidRPr="00724D83" w:rsidRDefault="00047467" w:rsidP="002F3690">
      <w:pPr>
        <w:pStyle w:val="Text1kwn"/>
        <w:tabs>
          <w:tab w:val="left" w:pos="720"/>
        </w:tabs>
        <w:ind w:left="720" w:hanging="360"/>
      </w:pPr>
      <w:r w:rsidRPr="00724D83">
        <w:t>B.</w:t>
      </w:r>
      <w:r w:rsidRPr="00724D83">
        <w:tab/>
        <w:t xml:space="preserve">are available to be used only to pay or fund employee benefits, are not available to the </w:t>
      </w:r>
      <w:r w:rsidR="0001162E">
        <w:t>Group</w:t>
      </w:r>
      <w:r w:rsidRPr="00724D83">
        <w:t xml:space="preserve">’s own creditors (even in bankruptcy), and cannot be returned to the </w:t>
      </w:r>
      <w:r w:rsidR="0001162E">
        <w:t>Group</w:t>
      </w:r>
      <w:r w:rsidRPr="00724D83">
        <w:t>, unless either:</w:t>
      </w:r>
    </w:p>
    <w:p w14:paraId="03FF42E4" w14:textId="60A2D469" w:rsidR="00047467" w:rsidRPr="00724D83" w:rsidRDefault="00047467" w:rsidP="002F3690">
      <w:pPr>
        <w:pStyle w:val="Text1"/>
        <w:ind w:left="1512" w:hanging="504"/>
      </w:pPr>
      <w:r w:rsidRPr="00724D83">
        <w:t>i)</w:t>
      </w:r>
      <w:r w:rsidRPr="00724D83">
        <w:tab/>
        <w:t xml:space="preserve">the remaining assets of the fund are sufficient to meet all the related employee benefit obligations of the plan or the </w:t>
      </w:r>
      <w:r w:rsidR="0001162E">
        <w:t>Group</w:t>
      </w:r>
      <w:r w:rsidRPr="00724D83">
        <w:t>; or</w:t>
      </w:r>
    </w:p>
    <w:p w14:paraId="03FF42E5" w14:textId="61BB9D21" w:rsidR="00047467" w:rsidRPr="00724D83" w:rsidRDefault="00047467" w:rsidP="002F3690">
      <w:pPr>
        <w:pStyle w:val="Text1"/>
        <w:ind w:left="1512" w:hanging="504"/>
      </w:pPr>
      <w:r w:rsidRPr="00724D83">
        <w:t>ii)</w:t>
      </w:r>
      <w:r w:rsidRPr="00724D83">
        <w:tab/>
        <w:t xml:space="preserve">the assets are returned to the </w:t>
      </w:r>
      <w:r w:rsidR="0001162E">
        <w:t>Group</w:t>
      </w:r>
      <w:r w:rsidRPr="00724D83">
        <w:t xml:space="preserve"> to reimburse it for employee benefits already paid.</w:t>
      </w:r>
    </w:p>
    <w:p w14:paraId="03FF42E6" w14:textId="77777777" w:rsidR="00047467" w:rsidRPr="00724D83" w:rsidRDefault="00047467" w:rsidP="002F3690">
      <w:pPr>
        <w:pStyle w:val="Text1"/>
      </w:pPr>
      <w:r w:rsidRPr="00724D83">
        <w:t>The fair value of plan assets is determined based on market rates. If no market price is available, the fair value is estimated; for example, by discounting expected future cash flows using a discount rate that reflects both the risk associated with the plan assets and the maturity or expected disposal date of those assets (or, if they have no maturity, the expected period until the settlement of the related obligation</w:t>
      </w:r>
      <w:r w:rsidRPr="00724D83">
        <w:rPr>
          <w:b/>
          <w:bCs/>
        </w:rPr>
        <w:t>)</w:t>
      </w:r>
      <w:r w:rsidRPr="00724D83">
        <w:t>.</w:t>
      </w:r>
    </w:p>
    <w:p w14:paraId="03FF42E7" w14:textId="77777777" w:rsidR="00047467" w:rsidRPr="00724D83" w:rsidRDefault="00047467" w:rsidP="002F3690">
      <w:pPr>
        <w:pStyle w:val="Text1"/>
      </w:pPr>
      <w:r w:rsidRPr="00724D83">
        <w:t>Plan assets and the related liabilities are presented on a net basis in the balance sheet. Net liabilities and net assets arising on different plans are presented separately, except in the rare circumstances when there is a legal right of offset and an intention to settle the plans on a net basis.</w:t>
      </w:r>
    </w:p>
    <w:p w14:paraId="03FF42E8" w14:textId="77777777" w:rsidR="00047467" w:rsidRPr="00724D83" w:rsidRDefault="00047467" w:rsidP="002F3690">
      <w:pPr>
        <w:pStyle w:val="Head1"/>
      </w:pPr>
      <w:r w:rsidRPr="00724D83">
        <w:t>Income Statement: Net Periodic Pension Cost</w:t>
      </w:r>
      <w:r>
        <w:t xml:space="preserve"> [IAS 19.61]</w:t>
      </w:r>
    </w:p>
    <w:p w14:paraId="03FF42E9" w14:textId="77777777" w:rsidR="00047467" w:rsidRPr="00724D83" w:rsidRDefault="00047467" w:rsidP="002F3690">
      <w:pPr>
        <w:pStyle w:val="Text1kwn"/>
      </w:pPr>
      <w:r w:rsidRPr="00724D83">
        <w:t>The Net Periodic Pension Cost is comprised of the following:</w:t>
      </w:r>
    </w:p>
    <w:tbl>
      <w:tblPr>
        <w:tblW w:w="4500" w:type="pct"/>
        <w:jc w:val="center"/>
        <w:tblLook w:val="0000" w:firstRow="0" w:lastRow="0" w:firstColumn="0" w:lastColumn="0" w:noHBand="0" w:noVBand="0"/>
      </w:tblPr>
      <w:tblGrid>
        <w:gridCol w:w="389"/>
        <w:gridCol w:w="8035"/>
      </w:tblGrid>
      <w:tr w:rsidR="00047467" w:rsidRPr="00724D83" w14:paraId="03FF42EC" w14:textId="77777777" w:rsidTr="0098070F">
        <w:trPr>
          <w:trHeight w:val="315"/>
          <w:jc w:val="center"/>
        </w:trPr>
        <w:tc>
          <w:tcPr>
            <w:tcW w:w="389" w:type="dxa"/>
            <w:tcBorders>
              <w:top w:val="single" w:sz="4" w:space="0" w:color="000000"/>
              <w:left w:val="single" w:sz="4" w:space="0" w:color="000000"/>
              <w:bottom w:val="single" w:sz="4" w:space="0" w:color="000000"/>
            </w:tcBorders>
            <w:shd w:val="clear" w:color="auto" w:fill="E0E0E0"/>
            <w:vAlign w:val="center"/>
          </w:tcPr>
          <w:p w14:paraId="03FF42EA" w14:textId="77777777" w:rsidR="00047467" w:rsidRPr="00724D83" w:rsidRDefault="00047467" w:rsidP="0098070F">
            <w:pPr>
              <w:pStyle w:val="Default"/>
              <w:jc w:val="center"/>
              <w:rPr>
                <w:b/>
              </w:rPr>
            </w:pPr>
            <w:r w:rsidRPr="00724D83">
              <w:rPr>
                <w:b/>
              </w:rPr>
              <w:t>+</w:t>
            </w:r>
          </w:p>
        </w:tc>
        <w:tc>
          <w:tcPr>
            <w:tcW w:w="8035" w:type="dxa"/>
            <w:tcBorders>
              <w:top w:val="single" w:sz="4" w:space="0" w:color="000000"/>
              <w:bottom w:val="single" w:sz="4" w:space="0" w:color="000000"/>
              <w:right w:val="single" w:sz="4" w:space="0" w:color="000000"/>
            </w:tcBorders>
            <w:shd w:val="clear" w:color="auto" w:fill="E0E0E0"/>
            <w:vAlign w:val="center"/>
          </w:tcPr>
          <w:p w14:paraId="03FF42EB" w14:textId="77777777" w:rsidR="00047467" w:rsidRPr="00724D83" w:rsidRDefault="00047467" w:rsidP="0098070F">
            <w:pPr>
              <w:pStyle w:val="Default"/>
              <w:rPr>
                <w:sz w:val="22"/>
                <w:szCs w:val="22"/>
              </w:rPr>
            </w:pPr>
            <w:r w:rsidRPr="00724D83">
              <w:rPr>
                <w:sz w:val="22"/>
                <w:szCs w:val="22"/>
              </w:rPr>
              <w:t xml:space="preserve">Service Cost; </w:t>
            </w:r>
          </w:p>
        </w:tc>
      </w:tr>
      <w:tr w:rsidR="00047467" w:rsidRPr="00724D83" w14:paraId="03FF42EF" w14:textId="77777777" w:rsidTr="0098070F">
        <w:trPr>
          <w:trHeight w:val="303"/>
          <w:jc w:val="center"/>
        </w:trPr>
        <w:tc>
          <w:tcPr>
            <w:tcW w:w="389" w:type="dxa"/>
            <w:tcBorders>
              <w:top w:val="single" w:sz="4" w:space="0" w:color="000000"/>
              <w:left w:val="single" w:sz="4" w:space="0" w:color="000000"/>
              <w:bottom w:val="single" w:sz="4" w:space="0" w:color="000000"/>
            </w:tcBorders>
            <w:shd w:val="clear" w:color="auto" w:fill="E0E0E0"/>
            <w:vAlign w:val="center"/>
          </w:tcPr>
          <w:p w14:paraId="03FF42ED" w14:textId="77777777" w:rsidR="00047467" w:rsidRPr="00724D83" w:rsidRDefault="00047467" w:rsidP="0098070F">
            <w:pPr>
              <w:pStyle w:val="Default"/>
              <w:jc w:val="center"/>
              <w:rPr>
                <w:b/>
              </w:rPr>
            </w:pPr>
            <w:r w:rsidRPr="00724D83">
              <w:rPr>
                <w:b/>
              </w:rPr>
              <w:t>+</w:t>
            </w:r>
          </w:p>
        </w:tc>
        <w:tc>
          <w:tcPr>
            <w:tcW w:w="8035" w:type="dxa"/>
            <w:tcBorders>
              <w:top w:val="single" w:sz="4" w:space="0" w:color="000000"/>
              <w:bottom w:val="single" w:sz="4" w:space="0" w:color="000000"/>
              <w:right w:val="single" w:sz="4" w:space="0" w:color="000000"/>
            </w:tcBorders>
            <w:shd w:val="clear" w:color="auto" w:fill="E0E0E0"/>
            <w:vAlign w:val="center"/>
          </w:tcPr>
          <w:p w14:paraId="03FF42EE" w14:textId="77777777" w:rsidR="00047467" w:rsidRPr="00724D83" w:rsidRDefault="00047467" w:rsidP="0098070F">
            <w:pPr>
              <w:pStyle w:val="Default"/>
              <w:rPr>
                <w:sz w:val="22"/>
                <w:szCs w:val="22"/>
              </w:rPr>
            </w:pPr>
            <w:r w:rsidRPr="00724D83">
              <w:rPr>
                <w:sz w:val="22"/>
                <w:szCs w:val="22"/>
              </w:rPr>
              <w:t xml:space="preserve">Interest Cost; </w:t>
            </w:r>
          </w:p>
        </w:tc>
      </w:tr>
      <w:tr w:rsidR="00047467" w:rsidRPr="00724D83" w14:paraId="03FF42F2" w14:textId="77777777" w:rsidTr="0098070F">
        <w:trPr>
          <w:trHeight w:val="305"/>
          <w:jc w:val="center"/>
        </w:trPr>
        <w:tc>
          <w:tcPr>
            <w:tcW w:w="389" w:type="dxa"/>
            <w:tcBorders>
              <w:top w:val="single" w:sz="4" w:space="0" w:color="000000"/>
              <w:left w:val="single" w:sz="4" w:space="0" w:color="000000"/>
              <w:bottom w:val="single" w:sz="4" w:space="0" w:color="000000"/>
            </w:tcBorders>
            <w:shd w:val="clear" w:color="auto" w:fill="E0E0E0"/>
            <w:vAlign w:val="center"/>
          </w:tcPr>
          <w:p w14:paraId="03FF42F0" w14:textId="77777777" w:rsidR="00047467" w:rsidRPr="00724D83" w:rsidRDefault="00047467" w:rsidP="0098070F">
            <w:pPr>
              <w:pStyle w:val="Default"/>
              <w:jc w:val="center"/>
              <w:rPr>
                <w:b/>
              </w:rPr>
            </w:pPr>
            <w:r w:rsidRPr="00724D83">
              <w:rPr>
                <w:b/>
              </w:rPr>
              <w:t>+</w:t>
            </w:r>
          </w:p>
        </w:tc>
        <w:tc>
          <w:tcPr>
            <w:tcW w:w="8035" w:type="dxa"/>
            <w:tcBorders>
              <w:top w:val="single" w:sz="4" w:space="0" w:color="000000"/>
              <w:bottom w:val="single" w:sz="4" w:space="0" w:color="000000"/>
              <w:right w:val="single" w:sz="4" w:space="0" w:color="000000"/>
            </w:tcBorders>
            <w:shd w:val="clear" w:color="auto" w:fill="E0E0E0"/>
            <w:vAlign w:val="center"/>
          </w:tcPr>
          <w:p w14:paraId="03FF42F1" w14:textId="77777777" w:rsidR="00047467" w:rsidRPr="00724D83" w:rsidRDefault="00047467" w:rsidP="0098070F">
            <w:pPr>
              <w:pStyle w:val="Default"/>
              <w:rPr>
                <w:sz w:val="22"/>
                <w:szCs w:val="22"/>
              </w:rPr>
            </w:pPr>
            <w:r w:rsidRPr="00724D83">
              <w:rPr>
                <w:sz w:val="22"/>
                <w:szCs w:val="22"/>
              </w:rPr>
              <w:t xml:space="preserve">Amortization of unrecognized unvested past service cost; </w:t>
            </w:r>
          </w:p>
        </w:tc>
      </w:tr>
      <w:tr w:rsidR="00047467" w:rsidRPr="00724D83" w14:paraId="03FF42F5" w14:textId="77777777" w:rsidTr="0098070F">
        <w:trPr>
          <w:trHeight w:val="404"/>
          <w:jc w:val="center"/>
        </w:trPr>
        <w:tc>
          <w:tcPr>
            <w:tcW w:w="389" w:type="dxa"/>
            <w:tcBorders>
              <w:top w:val="single" w:sz="4" w:space="0" w:color="000000"/>
              <w:left w:val="single" w:sz="4" w:space="0" w:color="000000"/>
              <w:bottom w:val="single" w:sz="4" w:space="0" w:color="000000"/>
            </w:tcBorders>
            <w:shd w:val="clear" w:color="auto" w:fill="E0E0E0"/>
            <w:vAlign w:val="center"/>
          </w:tcPr>
          <w:p w14:paraId="03FF42F3" w14:textId="77777777" w:rsidR="00047467" w:rsidRDefault="00047467" w:rsidP="0098070F">
            <w:pPr>
              <w:pStyle w:val="Default"/>
              <w:jc w:val="center"/>
              <w:rPr>
                <w:b/>
                <w:sz w:val="28"/>
                <w:szCs w:val="28"/>
              </w:rPr>
            </w:pPr>
            <w:r w:rsidRPr="00724D83">
              <w:rPr>
                <w:b/>
              </w:rPr>
              <w:lastRenderedPageBreak/>
              <w:t>+</w:t>
            </w:r>
          </w:p>
        </w:tc>
        <w:tc>
          <w:tcPr>
            <w:tcW w:w="8035" w:type="dxa"/>
            <w:tcBorders>
              <w:top w:val="single" w:sz="4" w:space="0" w:color="000000"/>
              <w:bottom w:val="single" w:sz="4" w:space="0" w:color="000000"/>
              <w:right w:val="single" w:sz="4" w:space="0" w:color="000000"/>
            </w:tcBorders>
            <w:shd w:val="clear" w:color="auto" w:fill="E0E0E0"/>
            <w:vAlign w:val="center"/>
          </w:tcPr>
          <w:p w14:paraId="03FF42F4" w14:textId="77777777" w:rsidR="00047467" w:rsidRPr="00724D83" w:rsidRDefault="00047467" w:rsidP="0098070F">
            <w:pPr>
              <w:pStyle w:val="Default"/>
              <w:rPr>
                <w:sz w:val="22"/>
                <w:szCs w:val="22"/>
              </w:rPr>
            </w:pPr>
            <w:r w:rsidRPr="00557E17">
              <w:rPr>
                <w:sz w:val="22"/>
                <w:szCs w:val="22"/>
              </w:rPr>
              <w:t>the effect of any curtailments or settlements</w:t>
            </w:r>
          </w:p>
        </w:tc>
      </w:tr>
      <w:tr w:rsidR="00047467" w:rsidRPr="00724D83" w14:paraId="03FF42FB" w14:textId="77777777" w:rsidTr="0098070F">
        <w:trPr>
          <w:trHeight w:val="404"/>
          <w:jc w:val="center"/>
        </w:trPr>
        <w:tc>
          <w:tcPr>
            <w:tcW w:w="389" w:type="dxa"/>
            <w:tcBorders>
              <w:top w:val="single" w:sz="4" w:space="0" w:color="000000"/>
              <w:left w:val="single" w:sz="4" w:space="0" w:color="000000"/>
              <w:bottom w:val="single" w:sz="4" w:space="0" w:color="000000"/>
            </w:tcBorders>
            <w:shd w:val="clear" w:color="auto" w:fill="E0E0E0"/>
            <w:vAlign w:val="center"/>
          </w:tcPr>
          <w:p w14:paraId="03FF42F9" w14:textId="77777777" w:rsidR="00047467" w:rsidRPr="00724D83" w:rsidRDefault="00047467" w:rsidP="0098070F">
            <w:pPr>
              <w:pStyle w:val="Default"/>
              <w:jc w:val="center"/>
              <w:rPr>
                <w:b/>
              </w:rPr>
            </w:pPr>
            <w:r w:rsidRPr="00724D83">
              <w:rPr>
                <w:b/>
              </w:rPr>
              <w:t>+</w:t>
            </w:r>
          </w:p>
        </w:tc>
        <w:tc>
          <w:tcPr>
            <w:tcW w:w="8035" w:type="dxa"/>
            <w:tcBorders>
              <w:top w:val="single" w:sz="4" w:space="0" w:color="000000"/>
              <w:bottom w:val="single" w:sz="4" w:space="0" w:color="000000"/>
              <w:right w:val="single" w:sz="4" w:space="0" w:color="000000"/>
            </w:tcBorders>
            <w:shd w:val="clear" w:color="auto" w:fill="E0E0E0"/>
            <w:vAlign w:val="center"/>
          </w:tcPr>
          <w:p w14:paraId="03FF42FA" w14:textId="77777777" w:rsidR="00047467" w:rsidRPr="00724D83" w:rsidRDefault="00047467" w:rsidP="0098070F">
            <w:pPr>
              <w:pStyle w:val="Default"/>
              <w:rPr>
                <w:sz w:val="22"/>
                <w:szCs w:val="22"/>
              </w:rPr>
            </w:pPr>
            <w:r w:rsidRPr="00724D83">
              <w:rPr>
                <w:sz w:val="22"/>
                <w:szCs w:val="22"/>
              </w:rPr>
              <w:t xml:space="preserve">Any unrecognized actuarial gains (less any actuarial losses); </w:t>
            </w:r>
          </w:p>
        </w:tc>
      </w:tr>
    </w:tbl>
    <w:p w14:paraId="03FF42FC" w14:textId="77777777" w:rsidR="00047467" w:rsidRPr="00724D83" w:rsidRDefault="00047467" w:rsidP="002F3690">
      <w:pPr>
        <w:pStyle w:val="Text1"/>
      </w:pPr>
    </w:p>
    <w:p w14:paraId="03FF42FD" w14:textId="7587E4C9" w:rsidR="00047467" w:rsidRPr="00724D83" w:rsidRDefault="00047467" w:rsidP="002F3690">
      <w:pPr>
        <w:pStyle w:val="Head1"/>
      </w:pPr>
      <w:r w:rsidRPr="00724D83">
        <w:t>Service cost</w:t>
      </w:r>
      <w:r>
        <w:t xml:space="preserve"> </w:t>
      </w:r>
    </w:p>
    <w:p w14:paraId="03FF42FE" w14:textId="77777777" w:rsidR="00047467" w:rsidRPr="00724D83" w:rsidRDefault="00047467" w:rsidP="002F3690">
      <w:pPr>
        <w:pStyle w:val="Text1"/>
      </w:pPr>
      <w:r w:rsidRPr="00724D83">
        <w:t>Service cost is the increase in the present value of the defined benefit obligation resulting from employee service in the current period.</w:t>
      </w:r>
    </w:p>
    <w:p w14:paraId="03FF42FF" w14:textId="145D461E" w:rsidR="00047467" w:rsidRPr="00724D83" w:rsidRDefault="00047467" w:rsidP="002F3690">
      <w:pPr>
        <w:pStyle w:val="Head1"/>
      </w:pPr>
      <w:r w:rsidRPr="00724D83">
        <w:t>Interest cost</w:t>
      </w:r>
      <w:r>
        <w:t xml:space="preserve"> </w:t>
      </w:r>
    </w:p>
    <w:p w14:paraId="03FF4300" w14:textId="17281270" w:rsidR="00047467" w:rsidRDefault="00047467" w:rsidP="002F3690">
      <w:pPr>
        <w:pStyle w:val="Text1"/>
      </w:pPr>
      <w:r w:rsidRPr="00724D83">
        <w:t xml:space="preserve">Interest cost is computed by multiplying the discount rate as determined at the start of the period by the present value of the defined benefit obligation throughout that period, taking account of any material changes in the obligation. The discount rate used in the present value calculation is the yield at the reporting date on </w:t>
      </w:r>
      <w:r>
        <w:t xml:space="preserve">the Actuary’s Yield Curve which matches the </w:t>
      </w:r>
      <w:r w:rsidR="0050105D">
        <w:t>Group</w:t>
      </w:r>
      <w:r>
        <w:t>’s cash flows to theoretical bond indices.</w:t>
      </w:r>
    </w:p>
    <w:p w14:paraId="78AE1FDF" w14:textId="4E7899A0" w:rsidR="0050105D" w:rsidRDefault="0050105D" w:rsidP="00BE3237">
      <w:pPr>
        <w:pStyle w:val="Text1"/>
        <w:spacing w:after="0"/>
      </w:pPr>
      <w:r>
        <w:t>The net interest cost on the net defined benefit liability (asset) comprises:</w:t>
      </w:r>
    </w:p>
    <w:p w14:paraId="4B09B52F" w14:textId="7758196B" w:rsidR="0050105D" w:rsidRDefault="003D34E1" w:rsidP="00BE3237">
      <w:pPr>
        <w:pStyle w:val="Text1"/>
        <w:numPr>
          <w:ilvl w:val="0"/>
          <w:numId w:val="61"/>
        </w:numPr>
        <w:spacing w:after="0"/>
      </w:pPr>
      <w:r>
        <w:t>In</w:t>
      </w:r>
      <w:r w:rsidR="0050105D">
        <w:t>terest cost on the defined benefit obligation</w:t>
      </w:r>
    </w:p>
    <w:p w14:paraId="5B9F7423" w14:textId="4C875756" w:rsidR="0050105D" w:rsidRDefault="0050105D" w:rsidP="00BE3237">
      <w:pPr>
        <w:pStyle w:val="Text1"/>
        <w:numPr>
          <w:ilvl w:val="0"/>
          <w:numId w:val="61"/>
        </w:numPr>
        <w:spacing w:after="0"/>
      </w:pPr>
      <w:r>
        <w:t xml:space="preserve">Interest </w:t>
      </w:r>
      <w:r w:rsidR="00D55BB2">
        <w:t>i</w:t>
      </w:r>
      <w:r>
        <w:t>ncome on the plan assets</w:t>
      </w:r>
    </w:p>
    <w:p w14:paraId="586DBEFA" w14:textId="2AD71665" w:rsidR="0050105D" w:rsidRDefault="0050105D" w:rsidP="00BE3237">
      <w:pPr>
        <w:pStyle w:val="Text1"/>
        <w:numPr>
          <w:ilvl w:val="0"/>
          <w:numId w:val="61"/>
        </w:numPr>
        <w:spacing w:after="0"/>
      </w:pPr>
      <w:r>
        <w:t>Interest on the effect of Asset Ceiling</w:t>
      </w:r>
    </w:p>
    <w:p w14:paraId="1882E5DA" w14:textId="77777777" w:rsidR="0050105D" w:rsidRPr="00724D83" w:rsidRDefault="0050105D" w:rsidP="00BE3237">
      <w:pPr>
        <w:pStyle w:val="Text1"/>
        <w:spacing w:after="0"/>
      </w:pPr>
    </w:p>
    <w:p w14:paraId="03FF4301" w14:textId="09D409B2" w:rsidR="00047467" w:rsidRPr="00724D83" w:rsidRDefault="00047467" w:rsidP="002F3690">
      <w:pPr>
        <w:pStyle w:val="Head1"/>
      </w:pPr>
      <w:r w:rsidRPr="00724D83">
        <w:t>Past service cost</w:t>
      </w:r>
      <w:r>
        <w:t xml:space="preserve"> </w:t>
      </w:r>
    </w:p>
    <w:p w14:paraId="03FF4302" w14:textId="2684B3D4" w:rsidR="00047467" w:rsidRPr="00724D83" w:rsidRDefault="00047467" w:rsidP="002F3690">
      <w:pPr>
        <w:pStyle w:val="Text1"/>
      </w:pPr>
      <w:r w:rsidRPr="00724D83">
        <w:t xml:space="preserve">Past service costs arises when </w:t>
      </w:r>
      <w:r>
        <w:t xml:space="preserve">the </w:t>
      </w:r>
      <w:r w:rsidR="0050105D">
        <w:t>Group</w:t>
      </w:r>
      <w:r w:rsidRPr="00724D83">
        <w:t xml:space="preserve"> introduces a defined benefit plan or changes the terms of an existing plan or the initiation of a new plan. It may arise, for example, from the adoption of a new law or from a renegotiation of benefits (plan amendment).</w:t>
      </w:r>
    </w:p>
    <w:p w14:paraId="03FF4303" w14:textId="77777777" w:rsidR="00047467" w:rsidRPr="00724D83" w:rsidRDefault="00047467" w:rsidP="002F3690">
      <w:pPr>
        <w:pStyle w:val="Text1"/>
      </w:pPr>
      <w:r w:rsidRPr="00724D83">
        <w:t xml:space="preserve">A plan amendment may increase benefits including those attributed to years of service already rendered. Plan amendments are normally granted with the expectation that the employer will realize economic benefits in future periods and result in retroactive benefits, known as </w:t>
      </w:r>
      <w:r>
        <w:t>p</w:t>
      </w:r>
      <w:r w:rsidRPr="00724D83">
        <w:t>ast service cost.</w:t>
      </w:r>
    </w:p>
    <w:p w14:paraId="03FF4304" w14:textId="77777777" w:rsidR="00047467" w:rsidRPr="00724D83" w:rsidRDefault="00047467" w:rsidP="002F3690">
      <w:pPr>
        <w:pStyle w:val="Text1"/>
      </w:pPr>
      <w:r w:rsidRPr="00724D83">
        <w:t xml:space="preserve">The unvested portion of the </w:t>
      </w:r>
      <w:r>
        <w:t>p</w:t>
      </w:r>
      <w:r w:rsidRPr="00724D83">
        <w:t xml:space="preserve">ast </w:t>
      </w:r>
      <w:r>
        <w:t>s</w:t>
      </w:r>
      <w:r w:rsidRPr="00724D83">
        <w:t xml:space="preserve">ervice </w:t>
      </w:r>
      <w:r>
        <w:t>c</w:t>
      </w:r>
      <w:r w:rsidRPr="00724D83">
        <w:t>ost are amortized as a component of Net Periodic Pension Cost by assigning an equal amount to each future period of service for each employee active at the date of the amendment and who is expected to receive benefits under the plan.</w:t>
      </w:r>
      <w:r>
        <w:t xml:space="preserve">  An amortization schedule for Past Service Costs is established when benefits are introduced or changed and should only be amended due to a curtailment or settlement.  </w:t>
      </w:r>
    </w:p>
    <w:p w14:paraId="03FF4305" w14:textId="77777777" w:rsidR="00047467" w:rsidRPr="00724D83" w:rsidRDefault="00047467" w:rsidP="002F3690">
      <w:pPr>
        <w:pStyle w:val="Text1"/>
      </w:pPr>
      <w:r w:rsidRPr="00724D83">
        <w:t>Vested employee benefits are employee benefits that are not conditional on future employment. Accrued benefits that are already vested upon the introduction of, or changes to, a defined benefit plan are recognized immediately. The vested past service cost to be recognized at once is measured as the change in the liability resulting from the amendment.</w:t>
      </w:r>
    </w:p>
    <w:p w14:paraId="03FF4306" w14:textId="77777777" w:rsidR="00047467" w:rsidRPr="003E709D" w:rsidRDefault="00047467" w:rsidP="002F3690">
      <w:pPr>
        <w:pStyle w:val="Text1"/>
        <w:rPr>
          <w:b/>
          <w:bCs/>
          <w:color w:val="000080"/>
          <w:sz w:val="24"/>
          <w:szCs w:val="24"/>
        </w:rPr>
      </w:pPr>
      <w:r w:rsidRPr="003E709D">
        <w:rPr>
          <w:b/>
          <w:bCs/>
          <w:color w:val="000080"/>
          <w:sz w:val="24"/>
          <w:szCs w:val="24"/>
        </w:rPr>
        <w:lastRenderedPageBreak/>
        <w:t>Curtailments</w:t>
      </w:r>
      <w:r>
        <w:rPr>
          <w:b/>
          <w:bCs/>
          <w:color w:val="000080"/>
          <w:sz w:val="24"/>
          <w:szCs w:val="24"/>
        </w:rPr>
        <w:t xml:space="preserve"> / Settlements [IAS 19.109-110]</w:t>
      </w:r>
    </w:p>
    <w:p w14:paraId="03FF4307" w14:textId="70B6FE9E" w:rsidR="00047467" w:rsidRDefault="00047467" w:rsidP="002F3690">
      <w:pPr>
        <w:pStyle w:val="Text1"/>
      </w:pPr>
      <w:r>
        <w:t xml:space="preserve">Gains or losses resulting from curtailments or settlements of a plan are </w:t>
      </w:r>
      <w:r w:rsidR="00BE3237">
        <w:t>recognized</w:t>
      </w:r>
      <w:r>
        <w:t xml:space="preserve"> when the curtailment or settlement occurs. Curtailments are reductions in scope of employees covered or in benefits.</w:t>
      </w:r>
    </w:p>
    <w:p w14:paraId="7F2E59C3" w14:textId="77777777" w:rsidR="00D55BB2" w:rsidRPr="00D55BB2" w:rsidRDefault="00047467" w:rsidP="002F3690">
      <w:pPr>
        <w:pStyle w:val="Head1"/>
        <w:rPr>
          <w:b w:val="0"/>
          <w:sz w:val="22"/>
          <w:szCs w:val="22"/>
        </w:rPr>
      </w:pPr>
      <w:r w:rsidRPr="00D55BB2">
        <w:rPr>
          <w:b w:val="0"/>
          <w:color w:val="auto"/>
          <w:sz w:val="22"/>
          <w:szCs w:val="22"/>
        </w:rPr>
        <w:t xml:space="preserve">The gain or loss on a curtailment or settlement is any resulting change in the present value of the defined benefit obligation; any resulting change in the fair value of the plan assets; and any related actuarial gains and losses and past service cost not previously been </w:t>
      </w:r>
      <w:proofErr w:type="spellStart"/>
      <w:r w:rsidRPr="00D55BB2">
        <w:rPr>
          <w:b w:val="0"/>
          <w:color w:val="auto"/>
          <w:sz w:val="22"/>
          <w:szCs w:val="22"/>
        </w:rPr>
        <w:t>recognised</w:t>
      </w:r>
      <w:proofErr w:type="spellEnd"/>
      <w:r w:rsidRPr="00D55BB2">
        <w:rPr>
          <w:b w:val="0"/>
          <w:color w:val="auto"/>
          <w:sz w:val="22"/>
          <w:szCs w:val="22"/>
        </w:rPr>
        <w:t>.</w:t>
      </w:r>
    </w:p>
    <w:p w14:paraId="03FF430C" w14:textId="30369C6E" w:rsidR="00047467" w:rsidRPr="00724D83" w:rsidRDefault="00047467" w:rsidP="002F3690">
      <w:pPr>
        <w:pStyle w:val="Head1"/>
      </w:pPr>
      <w:r>
        <w:t>9</w:t>
      </w:r>
      <w:r w:rsidRPr="00724D83">
        <w:t>.4</w:t>
      </w:r>
      <w:r w:rsidRPr="00724D83">
        <w:tab/>
        <w:t>Termination plans</w:t>
      </w:r>
      <w:r>
        <w:t xml:space="preserve"> </w:t>
      </w:r>
    </w:p>
    <w:p w14:paraId="03FF430D" w14:textId="0F2F8C1B" w:rsidR="00047467" w:rsidRPr="00724D83" w:rsidRDefault="00047467" w:rsidP="002F3690">
      <w:pPr>
        <w:pStyle w:val="Text1"/>
      </w:pPr>
      <w:r w:rsidRPr="00724D83">
        <w:t>Unlike post</w:t>
      </w:r>
      <w:r>
        <w:noBreakHyphen/>
      </w:r>
      <w:r w:rsidRPr="00724D83">
        <w:t>employment benefit plans, an obligation for termination benefit</w:t>
      </w:r>
      <w:r>
        <w:t>s</w:t>
      </w:r>
      <w:r w:rsidRPr="00724D83">
        <w:t xml:space="preserve"> is regarded as arising from the termination and not from the employee’s service; therefore the obligation for termination benefits is not recognized until the </w:t>
      </w:r>
      <w:r w:rsidR="0050105D">
        <w:t>Group</w:t>
      </w:r>
      <w:r w:rsidR="0050105D" w:rsidRPr="00724D83">
        <w:t xml:space="preserve"> </w:t>
      </w:r>
      <w:r w:rsidRPr="00724D83">
        <w:t>is committed without realistic possibility of withdrawal to the termination.</w:t>
      </w:r>
    </w:p>
    <w:p w14:paraId="03FF430E" w14:textId="2E1E9D02" w:rsidR="00047467" w:rsidRPr="00724D83" w:rsidRDefault="00047467" w:rsidP="002F3690">
      <w:pPr>
        <w:pStyle w:val="Text1"/>
      </w:pPr>
      <w:r w:rsidRPr="00724D83">
        <w:t xml:space="preserve">Termination benefits are those benefits that are payable as a result of the </w:t>
      </w:r>
      <w:r w:rsidR="0050105D">
        <w:t>Group</w:t>
      </w:r>
      <w:r w:rsidR="0050105D" w:rsidRPr="00724D83">
        <w:t xml:space="preserve"> </w:t>
      </w:r>
      <w:r w:rsidRPr="00724D83">
        <w:t>terminating employment before the normal retirement date, or an employee’s decision to accept an offer of voluntary redundancy.</w:t>
      </w:r>
    </w:p>
    <w:p w14:paraId="03FF430F" w14:textId="677A2E37" w:rsidR="00047467" w:rsidRPr="00724D83" w:rsidRDefault="00047467" w:rsidP="002F3690">
      <w:pPr>
        <w:pStyle w:val="Text1"/>
      </w:pPr>
      <w:r w:rsidRPr="00724D83">
        <w:t>Expenses and liabilities for termination benefits should be recognized immediately when the</w:t>
      </w:r>
      <w:r w:rsidR="0050105D">
        <w:t xml:space="preserve"> Group</w:t>
      </w:r>
      <w:r w:rsidRPr="00724D83">
        <w:t xml:space="preserve"> has an obligation to make the payment. The cost is not spread over any remaining service period.</w:t>
      </w:r>
    </w:p>
    <w:p w14:paraId="03FF4310" w14:textId="554BE1AD" w:rsidR="00047467" w:rsidRPr="00724D83" w:rsidRDefault="00047467" w:rsidP="002F3690">
      <w:pPr>
        <w:pStyle w:val="Head1"/>
      </w:pPr>
      <w:r>
        <w:t>9</w:t>
      </w:r>
      <w:r w:rsidRPr="00724D83">
        <w:t>.5</w:t>
      </w:r>
      <w:r w:rsidRPr="00724D83">
        <w:tab/>
        <w:t>Other long</w:t>
      </w:r>
      <w:r>
        <w:noBreakHyphen/>
      </w:r>
      <w:r w:rsidRPr="00724D83">
        <w:t>term benefit plans</w:t>
      </w:r>
      <w:r>
        <w:t xml:space="preserve"> </w:t>
      </w:r>
    </w:p>
    <w:p w14:paraId="03FF4311" w14:textId="21603F89" w:rsidR="00047467" w:rsidRDefault="00047467" w:rsidP="002F3690">
      <w:pPr>
        <w:pStyle w:val="Text1"/>
      </w:pPr>
      <w:r w:rsidRPr="00724D83">
        <w:t>An employee benefit payable during employment, other than equity compensation (</w:t>
      </w:r>
      <w:r w:rsidRPr="00102FD5">
        <w:rPr>
          <w:color w:val="0000FF"/>
        </w:rPr>
        <w:t xml:space="preserve">see </w:t>
      </w:r>
      <w:r w:rsidR="00BE3237" w:rsidRPr="00102FD5">
        <w:rPr>
          <w:color w:val="0000FF"/>
          <w:u w:val="single"/>
        </w:rPr>
        <w:t>I</w:t>
      </w:r>
      <w:r w:rsidR="00BE3237">
        <w:rPr>
          <w:color w:val="0000FF"/>
          <w:u w:val="single"/>
        </w:rPr>
        <w:t>FR</w:t>
      </w:r>
      <w:r w:rsidR="00BE3237" w:rsidRPr="00102FD5">
        <w:rPr>
          <w:color w:val="0000FF"/>
          <w:u w:val="single"/>
        </w:rPr>
        <w:t>S</w:t>
      </w:r>
      <w:r w:rsidR="00BE3237">
        <w:rPr>
          <w:color w:val="0000FF"/>
          <w:u w:val="single"/>
        </w:rPr>
        <w:t xml:space="preserve"> </w:t>
      </w:r>
      <w:r w:rsidR="00BE3237" w:rsidRPr="00102FD5">
        <w:rPr>
          <w:color w:val="0000FF"/>
          <w:u w:val="single"/>
        </w:rPr>
        <w:t>2</w:t>
      </w:r>
      <w:r>
        <w:rPr>
          <w:color w:val="0000FF"/>
          <w:u w:val="single"/>
        </w:rPr>
        <w:t xml:space="preserve"> </w:t>
      </w:r>
      <w:r w:rsidRPr="00102FD5">
        <w:rPr>
          <w:i/>
          <w:iCs/>
          <w:color w:val="0000FF"/>
          <w:u w:val="single"/>
        </w:rPr>
        <w:t>Share</w:t>
      </w:r>
      <w:r w:rsidRPr="00102FD5">
        <w:rPr>
          <w:i/>
          <w:iCs/>
          <w:color w:val="0000FF"/>
          <w:u w:val="single"/>
        </w:rPr>
        <w:noBreakHyphen/>
        <w:t>based payments</w:t>
      </w:r>
      <w:r w:rsidRPr="00724D83">
        <w:t>), but more than one year after the end of the period in which the employee services were rendered, is a long</w:t>
      </w:r>
      <w:r>
        <w:noBreakHyphen/>
      </w:r>
      <w:r w:rsidRPr="00724D83">
        <w:t>term employee benefit.</w:t>
      </w:r>
    </w:p>
    <w:p w14:paraId="03FF4312" w14:textId="0472345A" w:rsidR="00047467" w:rsidRPr="00724D83" w:rsidRDefault="00047467" w:rsidP="002F3690">
      <w:pPr>
        <w:pStyle w:val="Text1"/>
      </w:pPr>
      <w:r w:rsidRPr="00724D83">
        <w:t>Long</w:t>
      </w:r>
      <w:r>
        <w:noBreakHyphen/>
      </w:r>
      <w:r w:rsidRPr="00724D83">
        <w:t xml:space="preserve">term benefits are accounted for in a manner similar to </w:t>
      </w:r>
      <w:r w:rsidR="00BE3237" w:rsidRPr="00724D83">
        <w:t>post-employment</w:t>
      </w:r>
      <w:r w:rsidRPr="00724D83">
        <w:t xml:space="preserve"> benefits (</w:t>
      </w:r>
      <w:r w:rsidRPr="00724D83">
        <w:rPr>
          <w:color w:val="000080"/>
        </w:rPr>
        <w:t xml:space="preserve">see </w:t>
      </w:r>
      <w:r w:rsidRPr="00DF3EFF">
        <w:rPr>
          <w:i/>
          <w:color w:val="0000FF"/>
          <w:u w:val="single"/>
        </w:rPr>
        <w:t xml:space="preserve">9.3 Post </w:t>
      </w:r>
      <w:r>
        <w:rPr>
          <w:i/>
          <w:color w:val="0000FF"/>
          <w:u w:val="single"/>
        </w:rPr>
        <w:t>e</w:t>
      </w:r>
      <w:r w:rsidRPr="00DF3EFF">
        <w:rPr>
          <w:i/>
          <w:color w:val="0000FF"/>
          <w:u w:val="single"/>
        </w:rPr>
        <w:t xml:space="preserve">mployment </w:t>
      </w:r>
      <w:r>
        <w:rPr>
          <w:i/>
          <w:color w:val="0000FF"/>
          <w:u w:val="single"/>
        </w:rPr>
        <w:t>b</w:t>
      </w:r>
      <w:r w:rsidRPr="00DF3EFF">
        <w:rPr>
          <w:i/>
          <w:color w:val="0000FF"/>
          <w:u w:val="single"/>
        </w:rPr>
        <w:t xml:space="preserve">enefit </w:t>
      </w:r>
      <w:r>
        <w:rPr>
          <w:i/>
          <w:color w:val="0000FF"/>
          <w:u w:val="single"/>
        </w:rPr>
        <w:t>p</w:t>
      </w:r>
      <w:r w:rsidRPr="00DF3EFF">
        <w:rPr>
          <w:i/>
          <w:color w:val="0000FF"/>
          <w:u w:val="single"/>
        </w:rPr>
        <w:t>lans</w:t>
      </w:r>
      <w:r w:rsidRPr="00724D83">
        <w:t>), except that all actuarial gains and losses and past services are recognized immediately in profit or loss.</w:t>
      </w:r>
    </w:p>
    <w:p w14:paraId="03FF4313" w14:textId="5B1D80B0" w:rsidR="00047467" w:rsidRPr="00724D83" w:rsidRDefault="00047467" w:rsidP="002F3690">
      <w:pPr>
        <w:pStyle w:val="Head1"/>
      </w:pPr>
      <w:r>
        <w:t>9</w:t>
      </w:r>
      <w:r w:rsidRPr="00724D83">
        <w:t>.6</w:t>
      </w:r>
      <w:r w:rsidRPr="00724D83">
        <w:tab/>
        <w:t xml:space="preserve">Presentation and disclosure </w:t>
      </w:r>
    </w:p>
    <w:p w14:paraId="03FF4314" w14:textId="30077920" w:rsidR="00047467" w:rsidRPr="00724D83" w:rsidRDefault="00047467" w:rsidP="002F3690">
      <w:pPr>
        <w:pStyle w:val="Head1"/>
      </w:pPr>
      <w:r>
        <w:t xml:space="preserve">9.6.1 </w:t>
      </w:r>
      <w:r>
        <w:tab/>
      </w:r>
      <w:r w:rsidRPr="00724D83">
        <w:t>Offsetting</w:t>
      </w:r>
    </w:p>
    <w:p w14:paraId="03FF4315" w14:textId="77777777" w:rsidR="00047467" w:rsidRPr="00724D83" w:rsidRDefault="00047467" w:rsidP="002F3690">
      <w:pPr>
        <w:pStyle w:val="Text1"/>
      </w:pPr>
      <w:r w:rsidRPr="00724D83">
        <w:t>Assets that meet the definition of plan assets and the related liabilities are presented on a net basis in the balance sheet. All other assets and obligations should be presented on a gross basis.</w:t>
      </w:r>
    </w:p>
    <w:p w14:paraId="03FF4316" w14:textId="77777777" w:rsidR="00047467" w:rsidRPr="00724D83" w:rsidRDefault="00047467" w:rsidP="002F3690">
      <w:pPr>
        <w:pStyle w:val="Text1"/>
      </w:pPr>
      <w:r w:rsidRPr="00724D83">
        <w:t>Net liabilities and net assets arising on different plans are presented separately, except in the rare circumstances when there is a legal right of offset and an intention to settle the plans on a net basis.</w:t>
      </w:r>
    </w:p>
    <w:p w14:paraId="03FF4317" w14:textId="0E0DD1DE" w:rsidR="00047467" w:rsidRPr="00D04C62" w:rsidRDefault="00A535F4" w:rsidP="00D55BB2">
      <w:pPr>
        <w:spacing w:after="0" w:line="240" w:lineRule="auto"/>
        <w:rPr>
          <w:b/>
          <w:bCs/>
          <w:color w:val="000080"/>
          <w:sz w:val="24"/>
          <w:szCs w:val="24"/>
        </w:rPr>
      </w:pPr>
      <w:r>
        <w:rPr>
          <w:b/>
          <w:bCs/>
          <w:color w:val="000080"/>
          <w:sz w:val="24"/>
          <w:szCs w:val="24"/>
        </w:rPr>
        <w:br w:type="page"/>
      </w:r>
      <w:r w:rsidR="00047467">
        <w:rPr>
          <w:b/>
          <w:bCs/>
          <w:color w:val="000080"/>
          <w:sz w:val="24"/>
          <w:szCs w:val="24"/>
        </w:rPr>
        <w:lastRenderedPageBreak/>
        <w:t xml:space="preserve">9.6.2 </w:t>
      </w:r>
      <w:r w:rsidR="00047467">
        <w:rPr>
          <w:b/>
          <w:bCs/>
          <w:color w:val="000080"/>
          <w:sz w:val="24"/>
          <w:szCs w:val="24"/>
        </w:rPr>
        <w:tab/>
      </w:r>
      <w:r w:rsidR="00047467" w:rsidRPr="00D04C62">
        <w:rPr>
          <w:b/>
          <w:bCs/>
          <w:color w:val="000080"/>
          <w:sz w:val="24"/>
          <w:szCs w:val="24"/>
        </w:rPr>
        <w:t>Current/non-current distinction</w:t>
      </w:r>
    </w:p>
    <w:p w14:paraId="03FF4318" w14:textId="77777777" w:rsidR="00047467" w:rsidRPr="00724D83" w:rsidRDefault="00047467" w:rsidP="002F3690">
      <w:pPr>
        <w:pStyle w:val="Text1"/>
      </w:pPr>
      <w:r w:rsidRPr="00724D83">
        <w:t>A distinction between current and non</w:t>
      </w:r>
      <w:r>
        <w:noBreakHyphen/>
      </w:r>
      <w:r w:rsidRPr="00724D83">
        <w:t>current assets and liabilities arising from post</w:t>
      </w:r>
      <w:r>
        <w:noBreakHyphen/>
      </w:r>
      <w:r w:rsidRPr="00724D83">
        <w:t>employment benefits is not required.</w:t>
      </w:r>
    </w:p>
    <w:p w14:paraId="03FF4319" w14:textId="4338DA69" w:rsidR="00047467" w:rsidRPr="00D04C62" w:rsidRDefault="00047467" w:rsidP="002F3690">
      <w:pPr>
        <w:pStyle w:val="Text1"/>
        <w:rPr>
          <w:b/>
          <w:bCs/>
          <w:color w:val="000080"/>
          <w:sz w:val="24"/>
          <w:szCs w:val="24"/>
        </w:rPr>
      </w:pPr>
      <w:r>
        <w:rPr>
          <w:b/>
          <w:bCs/>
          <w:color w:val="000080"/>
          <w:sz w:val="24"/>
          <w:szCs w:val="24"/>
        </w:rPr>
        <w:t xml:space="preserve">9.6.3 </w:t>
      </w:r>
      <w:r>
        <w:rPr>
          <w:b/>
          <w:bCs/>
          <w:color w:val="000080"/>
          <w:sz w:val="24"/>
          <w:szCs w:val="24"/>
        </w:rPr>
        <w:tab/>
      </w:r>
      <w:r w:rsidRPr="00D04C62">
        <w:rPr>
          <w:b/>
          <w:bCs/>
          <w:color w:val="000080"/>
          <w:sz w:val="24"/>
          <w:szCs w:val="24"/>
        </w:rPr>
        <w:t>Disclosures</w:t>
      </w:r>
      <w:r>
        <w:rPr>
          <w:b/>
          <w:bCs/>
          <w:color w:val="000080"/>
          <w:sz w:val="24"/>
          <w:szCs w:val="24"/>
        </w:rPr>
        <w:t xml:space="preserve"> </w:t>
      </w:r>
    </w:p>
    <w:p w14:paraId="03FF431A" w14:textId="1833ECA3" w:rsidR="00047467" w:rsidRPr="00773B92" w:rsidRDefault="00047467" w:rsidP="002F3690">
      <w:pPr>
        <w:pStyle w:val="Text1"/>
        <w:rPr>
          <w:b/>
          <w:bCs/>
          <w:color w:val="000080"/>
          <w:sz w:val="24"/>
          <w:szCs w:val="24"/>
        </w:rPr>
      </w:pPr>
      <w:r>
        <w:rPr>
          <w:b/>
          <w:bCs/>
          <w:color w:val="000080"/>
          <w:sz w:val="24"/>
          <w:szCs w:val="24"/>
        </w:rPr>
        <w:t xml:space="preserve">9.6.3.1 </w:t>
      </w:r>
      <w:r w:rsidRPr="00773B92">
        <w:rPr>
          <w:b/>
          <w:bCs/>
          <w:color w:val="000080"/>
          <w:sz w:val="24"/>
          <w:szCs w:val="24"/>
        </w:rPr>
        <w:t>Defined contribution plans</w:t>
      </w:r>
      <w:r>
        <w:rPr>
          <w:b/>
          <w:bCs/>
          <w:color w:val="000080"/>
          <w:sz w:val="24"/>
          <w:szCs w:val="24"/>
        </w:rPr>
        <w:t xml:space="preserve"> </w:t>
      </w:r>
    </w:p>
    <w:p w14:paraId="03FF431B" w14:textId="2C4F2269" w:rsidR="00047467" w:rsidRDefault="00047467" w:rsidP="002F3690">
      <w:pPr>
        <w:pStyle w:val="Text1"/>
      </w:pPr>
      <w:r>
        <w:t xml:space="preserve">The </w:t>
      </w:r>
      <w:r w:rsidR="0050105D">
        <w:t>Group</w:t>
      </w:r>
      <w:r w:rsidRPr="00DE5681">
        <w:t xml:space="preserve"> shall disclose the amount </w:t>
      </w:r>
      <w:r w:rsidR="00BE3237" w:rsidRPr="00DE5681">
        <w:t>recognized</w:t>
      </w:r>
      <w:r w:rsidRPr="00DE5681">
        <w:t xml:space="preserve"> as an expense for defined</w:t>
      </w:r>
      <w:r>
        <w:t xml:space="preserve"> </w:t>
      </w:r>
      <w:r w:rsidRPr="00DE5681">
        <w:t>contribution plans.</w:t>
      </w:r>
      <w:r>
        <w:t xml:space="preserve">  </w:t>
      </w:r>
    </w:p>
    <w:p w14:paraId="03FF431C" w14:textId="661EF00E" w:rsidR="00047467" w:rsidRPr="00773B92" w:rsidRDefault="00047467" w:rsidP="002F3690">
      <w:pPr>
        <w:pStyle w:val="Text1"/>
        <w:rPr>
          <w:b/>
          <w:bCs/>
          <w:color w:val="000080"/>
          <w:sz w:val="24"/>
          <w:szCs w:val="24"/>
        </w:rPr>
      </w:pPr>
      <w:r>
        <w:rPr>
          <w:b/>
          <w:bCs/>
          <w:color w:val="000080"/>
          <w:sz w:val="24"/>
          <w:szCs w:val="24"/>
        </w:rPr>
        <w:t xml:space="preserve">9.6.3.2 </w:t>
      </w:r>
      <w:r w:rsidRPr="00773B92">
        <w:rPr>
          <w:b/>
          <w:bCs/>
          <w:color w:val="000080"/>
          <w:sz w:val="24"/>
          <w:szCs w:val="24"/>
        </w:rPr>
        <w:t>Defined benefit plans</w:t>
      </w:r>
      <w:r>
        <w:rPr>
          <w:b/>
          <w:bCs/>
          <w:color w:val="000080"/>
          <w:sz w:val="24"/>
          <w:szCs w:val="24"/>
        </w:rPr>
        <w:t xml:space="preserve"> </w:t>
      </w:r>
    </w:p>
    <w:p w14:paraId="03FF431D" w14:textId="2846FAA1" w:rsidR="00047467" w:rsidRDefault="00047467" w:rsidP="002F3690">
      <w:pPr>
        <w:pStyle w:val="Text1"/>
      </w:pPr>
      <w:r>
        <w:t xml:space="preserve">The </w:t>
      </w:r>
      <w:r w:rsidR="0050105D">
        <w:t>Group</w:t>
      </w:r>
      <w:r w:rsidRPr="00DE5681">
        <w:t xml:space="preserve"> shall disclose information that enables users of financial statements to</w:t>
      </w:r>
      <w:r>
        <w:t xml:space="preserve"> </w:t>
      </w:r>
      <w:r w:rsidRPr="00DE5681">
        <w:t>evaluate the nature of its defined benefit plans and the financial effects of</w:t>
      </w:r>
      <w:r>
        <w:t xml:space="preserve"> </w:t>
      </w:r>
      <w:r w:rsidRPr="00DE5681">
        <w:t>changes in those plans during the period.</w:t>
      </w:r>
    </w:p>
    <w:p w14:paraId="03FF431E" w14:textId="4609AAC2" w:rsidR="00047467" w:rsidRPr="00D04C62" w:rsidRDefault="00047467" w:rsidP="002F3690">
      <w:pPr>
        <w:autoSpaceDE w:val="0"/>
        <w:autoSpaceDN w:val="0"/>
        <w:adjustRightInd w:val="0"/>
        <w:spacing w:after="0" w:line="240" w:lineRule="auto"/>
        <w:rPr>
          <w:color w:val="000000"/>
        </w:rPr>
      </w:pPr>
      <w:r>
        <w:rPr>
          <w:color w:val="000000"/>
        </w:rPr>
        <w:t xml:space="preserve">The </w:t>
      </w:r>
      <w:r w:rsidR="0050105D">
        <w:rPr>
          <w:color w:val="000000"/>
        </w:rPr>
        <w:t>Group</w:t>
      </w:r>
      <w:r w:rsidRPr="00D04C62">
        <w:rPr>
          <w:color w:val="000000"/>
        </w:rPr>
        <w:t xml:space="preserve"> shall disclose the following information about </w:t>
      </w:r>
      <w:r>
        <w:rPr>
          <w:color w:val="000000"/>
        </w:rPr>
        <w:t xml:space="preserve">its </w:t>
      </w:r>
      <w:r w:rsidRPr="00D04C62">
        <w:rPr>
          <w:color w:val="000000"/>
        </w:rPr>
        <w:t>defined benefit plans:</w:t>
      </w:r>
    </w:p>
    <w:p w14:paraId="03FF431F" w14:textId="72E7D515" w:rsidR="00047467" w:rsidRPr="00D04C62" w:rsidRDefault="00047467" w:rsidP="002F3690">
      <w:pPr>
        <w:numPr>
          <w:ilvl w:val="0"/>
          <w:numId w:val="57"/>
        </w:numPr>
        <w:tabs>
          <w:tab w:val="clear" w:pos="360"/>
          <w:tab w:val="num" w:pos="720"/>
        </w:tabs>
        <w:autoSpaceDE w:val="0"/>
        <w:autoSpaceDN w:val="0"/>
        <w:adjustRightInd w:val="0"/>
        <w:spacing w:after="0" w:line="240" w:lineRule="auto"/>
        <w:ind w:left="720"/>
        <w:rPr>
          <w:color w:val="000000"/>
        </w:rPr>
      </w:pPr>
      <w:r w:rsidRPr="00D04C62">
        <w:rPr>
          <w:color w:val="000000"/>
        </w:rPr>
        <w:t xml:space="preserve">the </w:t>
      </w:r>
      <w:r w:rsidR="003D34E1">
        <w:rPr>
          <w:color w:val="000000"/>
        </w:rPr>
        <w:t>Group</w:t>
      </w:r>
      <w:r w:rsidR="003D34E1" w:rsidRPr="00D04C62">
        <w:rPr>
          <w:color w:val="000000"/>
        </w:rPr>
        <w:t xml:space="preserve"> </w:t>
      </w:r>
      <w:r w:rsidRPr="00D04C62">
        <w:rPr>
          <w:color w:val="000000"/>
        </w:rPr>
        <w:t xml:space="preserve">accounting policy for </w:t>
      </w:r>
      <w:r w:rsidR="00BE3237" w:rsidRPr="00D04C62">
        <w:rPr>
          <w:color w:val="000000"/>
        </w:rPr>
        <w:t>recognizing</w:t>
      </w:r>
      <w:r w:rsidRPr="00D04C62">
        <w:rPr>
          <w:color w:val="000000"/>
        </w:rPr>
        <w:t xml:space="preserve"> actuarial gains and losses.</w:t>
      </w:r>
    </w:p>
    <w:p w14:paraId="03FF4320" w14:textId="77777777" w:rsidR="00047467" w:rsidRPr="00D04C62" w:rsidRDefault="00047467" w:rsidP="002F3690">
      <w:pPr>
        <w:numPr>
          <w:ilvl w:val="0"/>
          <w:numId w:val="57"/>
        </w:numPr>
        <w:tabs>
          <w:tab w:val="clear" w:pos="360"/>
          <w:tab w:val="num" w:pos="720"/>
        </w:tabs>
        <w:autoSpaceDE w:val="0"/>
        <w:autoSpaceDN w:val="0"/>
        <w:adjustRightInd w:val="0"/>
        <w:spacing w:after="0" w:line="240" w:lineRule="auto"/>
        <w:ind w:left="720"/>
        <w:rPr>
          <w:color w:val="000000"/>
        </w:rPr>
      </w:pPr>
      <w:r w:rsidRPr="00D04C62">
        <w:rPr>
          <w:color w:val="000000"/>
        </w:rPr>
        <w:t>a general description of the type of plan.</w:t>
      </w:r>
    </w:p>
    <w:p w14:paraId="03FF4321" w14:textId="77777777" w:rsidR="00047467" w:rsidRPr="00D04C62" w:rsidRDefault="00047467" w:rsidP="002F3690">
      <w:pPr>
        <w:numPr>
          <w:ilvl w:val="0"/>
          <w:numId w:val="57"/>
        </w:numPr>
        <w:tabs>
          <w:tab w:val="clear" w:pos="360"/>
          <w:tab w:val="num" w:pos="720"/>
        </w:tabs>
        <w:autoSpaceDE w:val="0"/>
        <w:autoSpaceDN w:val="0"/>
        <w:adjustRightInd w:val="0"/>
        <w:spacing w:after="0" w:line="240" w:lineRule="auto"/>
        <w:ind w:left="720"/>
        <w:rPr>
          <w:color w:val="000000"/>
        </w:rPr>
      </w:pPr>
      <w:r w:rsidRPr="00D04C62">
        <w:rPr>
          <w:color w:val="000000"/>
        </w:rPr>
        <w:t>a reconciliation of opening and closing balances of the present value of the</w:t>
      </w:r>
      <w:r>
        <w:rPr>
          <w:color w:val="000000"/>
        </w:rPr>
        <w:t xml:space="preserve"> </w:t>
      </w:r>
      <w:r w:rsidRPr="00D04C62">
        <w:rPr>
          <w:color w:val="000000"/>
        </w:rPr>
        <w:t>defined benefit obligation showing separately, if applicable, the effects</w:t>
      </w:r>
      <w:r>
        <w:rPr>
          <w:color w:val="000000"/>
        </w:rPr>
        <w:t xml:space="preserve"> </w:t>
      </w:r>
      <w:r w:rsidRPr="00D04C62">
        <w:rPr>
          <w:color w:val="000000"/>
        </w:rPr>
        <w:t xml:space="preserve">during the period </w:t>
      </w:r>
      <w:r>
        <w:rPr>
          <w:color w:val="000000"/>
        </w:rPr>
        <w:t>for</w:t>
      </w:r>
      <w:r w:rsidRPr="00D04C62">
        <w:rPr>
          <w:color w:val="000000"/>
        </w:rPr>
        <w:t xml:space="preserve"> each of the following:</w:t>
      </w:r>
    </w:p>
    <w:p w14:paraId="03FF4322" w14:textId="77777777" w:rsidR="00047467" w:rsidRPr="00D04C62" w:rsidRDefault="00047467" w:rsidP="002F3690">
      <w:pPr>
        <w:numPr>
          <w:ilvl w:val="1"/>
          <w:numId w:val="57"/>
        </w:numPr>
        <w:tabs>
          <w:tab w:val="clear" w:pos="720"/>
          <w:tab w:val="num" w:pos="1080"/>
        </w:tabs>
        <w:autoSpaceDE w:val="0"/>
        <w:autoSpaceDN w:val="0"/>
        <w:adjustRightInd w:val="0"/>
        <w:spacing w:after="0" w:line="240" w:lineRule="auto"/>
        <w:ind w:left="1080" w:firstLine="0"/>
        <w:rPr>
          <w:color w:val="000000"/>
        </w:rPr>
      </w:pPr>
      <w:r w:rsidRPr="00D04C62">
        <w:rPr>
          <w:color w:val="000000"/>
        </w:rPr>
        <w:t>current service cost,</w:t>
      </w:r>
    </w:p>
    <w:p w14:paraId="03FF4323"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interest cost,</w:t>
      </w:r>
    </w:p>
    <w:p w14:paraId="03FF4324"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contributions by plan participants,</w:t>
      </w:r>
    </w:p>
    <w:p w14:paraId="03FF4325"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actuarial gains and losses,</w:t>
      </w:r>
    </w:p>
    <w:p w14:paraId="03FF4326"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foreign currency exchange rate changes on plans measured in a</w:t>
      </w:r>
      <w:r>
        <w:rPr>
          <w:color w:val="000000"/>
        </w:rPr>
        <w:t xml:space="preserve"> </w:t>
      </w:r>
      <w:r w:rsidRPr="00D04C62">
        <w:rPr>
          <w:color w:val="000000"/>
        </w:rPr>
        <w:t>currency different from the entity’s presentation currency,</w:t>
      </w:r>
    </w:p>
    <w:p w14:paraId="03FF4327"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benefits paid,</w:t>
      </w:r>
    </w:p>
    <w:p w14:paraId="03FF4328"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past service cost,</w:t>
      </w:r>
    </w:p>
    <w:p w14:paraId="03FF4329"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business combinations,</w:t>
      </w:r>
    </w:p>
    <w:p w14:paraId="03FF432A"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curtailments and</w:t>
      </w:r>
    </w:p>
    <w:p w14:paraId="03FF432B"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settlements.</w:t>
      </w:r>
    </w:p>
    <w:p w14:paraId="03FF432C" w14:textId="77777777" w:rsidR="00047467" w:rsidRPr="00D04C62" w:rsidRDefault="00047467" w:rsidP="002F3690">
      <w:pPr>
        <w:numPr>
          <w:ilvl w:val="0"/>
          <w:numId w:val="57"/>
        </w:numPr>
        <w:tabs>
          <w:tab w:val="clear" w:pos="360"/>
          <w:tab w:val="num" w:pos="720"/>
        </w:tabs>
        <w:autoSpaceDE w:val="0"/>
        <w:autoSpaceDN w:val="0"/>
        <w:adjustRightInd w:val="0"/>
        <w:spacing w:after="0" w:line="240" w:lineRule="auto"/>
        <w:ind w:left="720"/>
        <w:rPr>
          <w:color w:val="000000"/>
        </w:rPr>
      </w:pPr>
      <w:r w:rsidRPr="00D04C62">
        <w:rPr>
          <w:color w:val="000000"/>
        </w:rPr>
        <w:t>an analysis of the defined benefit obligation into amounts arising from</w:t>
      </w:r>
      <w:r>
        <w:rPr>
          <w:color w:val="000000"/>
        </w:rPr>
        <w:t xml:space="preserve"> </w:t>
      </w:r>
      <w:r w:rsidRPr="00D04C62">
        <w:rPr>
          <w:color w:val="000000"/>
        </w:rPr>
        <w:t>plans that are wholly unfunded and amounts arising from plans that are</w:t>
      </w:r>
      <w:r>
        <w:rPr>
          <w:color w:val="000000"/>
        </w:rPr>
        <w:t xml:space="preserve"> </w:t>
      </w:r>
      <w:r w:rsidRPr="00D04C62">
        <w:rPr>
          <w:color w:val="000000"/>
        </w:rPr>
        <w:t>wholly or partly funded.</w:t>
      </w:r>
    </w:p>
    <w:p w14:paraId="03FF432D" w14:textId="42E676A6" w:rsidR="00047467" w:rsidRPr="00D04C62" w:rsidRDefault="00047467" w:rsidP="002F3690">
      <w:pPr>
        <w:numPr>
          <w:ilvl w:val="0"/>
          <w:numId w:val="57"/>
        </w:numPr>
        <w:tabs>
          <w:tab w:val="clear" w:pos="360"/>
          <w:tab w:val="num" w:pos="720"/>
        </w:tabs>
        <w:autoSpaceDE w:val="0"/>
        <w:autoSpaceDN w:val="0"/>
        <w:adjustRightInd w:val="0"/>
        <w:spacing w:after="0" w:line="240" w:lineRule="auto"/>
        <w:ind w:left="720"/>
        <w:rPr>
          <w:color w:val="000000"/>
        </w:rPr>
      </w:pPr>
      <w:r w:rsidRPr="00D04C62">
        <w:rPr>
          <w:color w:val="000000"/>
        </w:rPr>
        <w:t>a reconciliation of the opening and closing balances of the fair value of plan</w:t>
      </w:r>
      <w:r>
        <w:rPr>
          <w:color w:val="000000"/>
        </w:rPr>
        <w:t xml:space="preserve"> </w:t>
      </w:r>
      <w:r w:rsidRPr="00D04C62">
        <w:rPr>
          <w:color w:val="000000"/>
        </w:rPr>
        <w:t>assets and of the opening and closing balances of any reimbursement right</w:t>
      </w:r>
      <w:r>
        <w:rPr>
          <w:color w:val="000000"/>
        </w:rPr>
        <w:t xml:space="preserve"> </w:t>
      </w:r>
      <w:r w:rsidR="00BE3237" w:rsidRPr="00D04C62">
        <w:rPr>
          <w:color w:val="000000"/>
        </w:rPr>
        <w:t>recognized</w:t>
      </w:r>
      <w:r w:rsidRPr="00D04C62">
        <w:rPr>
          <w:color w:val="000000"/>
        </w:rPr>
        <w:t xml:space="preserve"> as an showing</w:t>
      </w:r>
      <w:r>
        <w:rPr>
          <w:color w:val="000000"/>
        </w:rPr>
        <w:t xml:space="preserve"> </w:t>
      </w:r>
      <w:r w:rsidRPr="00D04C62">
        <w:rPr>
          <w:color w:val="000000"/>
        </w:rPr>
        <w:t>separately, if applicable, the effects during the period attributable to each</w:t>
      </w:r>
      <w:r>
        <w:rPr>
          <w:color w:val="000000"/>
        </w:rPr>
        <w:t xml:space="preserve"> </w:t>
      </w:r>
      <w:r w:rsidRPr="00D04C62">
        <w:rPr>
          <w:color w:val="000000"/>
        </w:rPr>
        <w:t>of the following:</w:t>
      </w:r>
    </w:p>
    <w:p w14:paraId="03FF432E" w14:textId="3A93E5D6"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return on plan assets,</w:t>
      </w:r>
    </w:p>
    <w:p w14:paraId="03FF432F"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actuarial gains and losses,</w:t>
      </w:r>
    </w:p>
    <w:p w14:paraId="03FF4330"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foreign currency exchange rate changes on plans measured in a</w:t>
      </w:r>
      <w:r>
        <w:rPr>
          <w:color w:val="000000"/>
        </w:rPr>
        <w:t xml:space="preserve"> </w:t>
      </w:r>
      <w:r w:rsidRPr="00D04C62">
        <w:rPr>
          <w:color w:val="000000"/>
        </w:rPr>
        <w:t>currency different from the entity’s presentation currency,</w:t>
      </w:r>
    </w:p>
    <w:p w14:paraId="03FF4331"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contributions by the employer,</w:t>
      </w:r>
    </w:p>
    <w:p w14:paraId="03FF4332"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contributions by plan participants,</w:t>
      </w:r>
    </w:p>
    <w:p w14:paraId="03FF4333"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lastRenderedPageBreak/>
        <w:t>benefits paid,</w:t>
      </w:r>
    </w:p>
    <w:p w14:paraId="03FF4334"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business combinations and</w:t>
      </w:r>
    </w:p>
    <w:p w14:paraId="03FF4335"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settlements.</w:t>
      </w:r>
    </w:p>
    <w:p w14:paraId="03FF4336" w14:textId="1E628710" w:rsidR="00047467" w:rsidRPr="00D04C62" w:rsidRDefault="00047467" w:rsidP="002F3690">
      <w:pPr>
        <w:numPr>
          <w:ilvl w:val="0"/>
          <w:numId w:val="57"/>
        </w:numPr>
        <w:tabs>
          <w:tab w:val="clear" w:pos="360"/>
          <w:tab w:val="num" w:pos="720"/>
        </w:tabs>
        <w:autoSpaceDE w:val="0"/>
        <w:autoSpaceDN w:val="0"/>
        <w:adjustRightInd w:val="0"/>
        <w:spacing w:after="0" w:line="240" w:lineRule="auto"/>
        <w:ind w:left="720"/>
        <w:rPr>
          <w:color w:val="000000"/>
        </w:rPr>
      </w:pPr>
      <w:r w:rsidRPr="00D04C62">
        <w:rPr>
          <w:color w:val="000000"/>
        </w:rPr>
        <w:t>a reconciliation of the present value of the defined benefit obligation in</w:t>
      </w:r>
      <w:r>
        <w:rPr>
          <w:color w:val="000000"/>
        </w:rPr>
        <w:t xml:space="preserve"> </w:t>
      </w:r>
      <w:r w:rsidRPr="00D04C62">
        <w:rPr>
          <w:color w:val="000000"/>
        </w:rPr>
        <w:t>(c) and the fair value of the plan assets in (e) to the assets and liabilities</w:t>
      </w:r>
      <w:r>
        <w:rPr>
          <w:color w:val="000000"/>
        </w:rPr>
        <w:t xml:space="preserve"> </w:t>
      </w:r>
      <w:r w:rsidR="00BE3237" w:rsidRPr="00D04C62">
        <w:rPr>
          <w:color w:val="000000"/>
        </w:rPr>
        <w:t>recognized</w:t>
      </w:r>
      <w:r w:rsidRPr="00D04C62">
        <w:rPr>
          <w:color w:val="000000"/>
        </w:rPr>
        <w:t xml:space="preserve"> in the statement of financial position, showing at least:</w:t>
      </w:r>
    </w:p>
    <w:p w14:paraId="03FF4337" w14:textId="44E43299"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 xml:space="preserve">the net actuarial gains or losses not </w:t>
      </w:r>
      <w:r w:rsidR="00BE3237" w:rsidRPr="00D04C62">
        <w:rPr>
          <w:color w:val="000000"/>
        </w:rPr>
        <w:t>recognized</w:t>
      </w:r>
      <w:r w:rsidRPr="00D04C62">
        <w:rPr>
          <w:color w:val="000000"/>
        </w:rPr>
        <w:t xml:space="preserve"> in the statement of</w:t>
      </w:r>
      <w:r>
        <w:rPr>
          <w:color w:val="000000"/>
        </w:rPr>
        <w:t xml:space="preserve"> </w:t>
      </w:r>
      <w:r w:rsidRPr="00D04C62">
        <w:rPr>
          <w:color w:val="000000"/>
        </w:rPr>
        <w:t>financial position (see paragraph 92);</w:t>
      </w:r>
    </w:p>
    <w:p w14:paraId="03FF4338" w14:textId="017603DC"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 xml:space="preserve">the past service cost not </w:t>
      </w:r>
      <w:r w:rsidR="00BE3237" w:rsidRPr="00D04C62">
        <w:rPr>
          <w:color w:val="000000"/>
        </w:rPr>
        <w:t>recognized</w:t>
      </w:r>
      <w:r w:rsidRPr="00D04C62">
        <w:rPr>
          <w:color w:val="000000"/>
        </w:rPr>
        <w:t xml:space="preserve"> in the statement of financial</w:t>
      </w:r>
      <w:r>
        <w:rPr>
          <w:color w:val="000000"/>
        </w:rPr>
        <w:t xml:space="preserve"> </w:t>
      </w:r>
      <w:r w:rsidRPr="00D04C62">
        <w:rPr>
          <w:color w:val="000000"/>
        </w:rPr>
        <w:t>position (see paragraph 96);</w:t>
      </w:r>
    </w:p>
    <w:p w14:paraId="03FF4339" w14:textId="277EAE18"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 xml:space="preserve">any amount not </w:t>
      </w:r>
      <w:r w:rsidR="00BE3237" w:rsidRPr="00D04C62">
        <w:rPr>
          <w:color w:val="000000"/>
        </w:rPr>
        <w:t>recognized</w:t>
      </w:r>
      <w:r w:rsidRPr="00D04C62">
        <w:rPr>
          <w:color w:val="000000"/>
        </w:rPr>
        <w:t xml:space="preserve"> as an asset, because of the limit in</w:t>
      </w:r>
      <w:r>
        <w:rPr>
          <w:color w:val="000000"/>
        </w:rPr>
        <w:t xml:space="preserve"> </w:t>
      </w:r>
      <w:r w:rsidRPr="00D04C62">
        <w:rPr>
          <w:color w:val="000000"/>
        </w:rPr>
        <w:t>paragraph 58(b);</w:t>
      </w:r>
    </w:p>
    <w:p w14:paraId="03FF433A" w14:textId="41E997C6" w:rsidR="00047467" w:rsidRPr="00D04C62" w:rsidRDefault="00047467" w:rsidP="002F3690">
      <w:pPr>
        <w:numPr>
          <w:ilvl w:val="1"/>
          <w:numId w:val="57"/>
        </w:numPr>
        <w:tabs>
          <w:tab w:val="clear" w:pos="720"/>
          <w:tab w:val="num" w:pos="1440"/>
          <w:tab w:val="num" w:pos="2160"/>
        </w:tabs>
        <w:autoSpaceDE w:val="0"/>
        <w:autoSpaceDN w:val="0"/>
        <w:adjustRightInd w:val="0"/>
        <w:spacing w:after="0" w:line="240" w:lineRule="auto"/>
        <w:ind w:left="1440"/>
        <w:rPr>
          <w:color w:val="000000"/>
        </w:rPr>
      </w:pPr>
      <w:r w:rsidRPr="00D04C62">
        <w:rPr>
          <w:color w:val="000000"/>
        </w:rPr>
        <w:t>the fair value at the end of the reporting period of any</w:t>
      </w:r>
      <w:r>
        <w:rPr>
          <w:color w:val="000000"/>
        </w:rPr>
        <w:t xml:space="preserve"> </w:t>
      </w:r>
      <w:r w:rsidRPr="00D04C62">
        <w:rPr>
          <w:color w:val="000000"/>
        </w:rPr>
        <w:t xml:space="preserve">reimbursement right </w:t>
      </w:r>
      <w:r w:rsidR="00BE3237" w:rsidRPr="00D04C62">
        <w:rPr>
          <w:color w:val="000000"/>
        </w:rPr>
        <w:t>recognized</w:t>
      </w:r>
      <w:r w:rsidRPr="00D04C62">
        <w:rPr>
          <w:color w:val="000000"/>
        </w:rPr>
        <w:t xml:space="preserve"> as an asset in accordance with</w:t>
      </w:r>
      <w:r>
        <w:rPr>
          <w:color w:val="000000"/>
        </w:rPr>
        <w:t xml:space="preserve"> </w:t>
      </w:r>
      <w:r w:rsidRPr="00D04C62">
        <w:rPr>
          <w:color w:val="000000"/>
        </w:rPr>
        <w:t>paragraph 104A (with a brief description of the link between the</w:t>
      </w:r>
      <w:r>
        <w:rPr>
          <w:color w:val="000000"/>
        </w:rPr>
        <w:t xml:space="preserve"> </w:t>
      </w:r>
      <w:r w:rsidRPr="00D04C62">
        <w:rPr>
          <w:color w:val="000000"/>
        </w:rPr>
        <w:t>reimbursement right and the related obligation); and</w:t>
      </w:r>
    </w:p>
    <w:p w14:paraId="03FF433B" w14:textId="39707018"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 xml:space="preserve">the other amounts </w:t>
      </w:r>
      <w:r w:rsidR="00BE3237" w:rsidRPr="00D04C62">
        <w:rPr>
          <w:color w:val="000000"/>
        </w:rPr>
        <w:t>recognized</w:t>
      </w:r>
      <w:r w:rsidRPr="00D04C62">
        <w:rPr>
          <w:color w:val="000000"/>
        </w:rPr>
        <w:t xml:space="preserve"> in the statement of financial position.</w:t>
      </w:r>
    </w:p>
    <w:p w14:paraId="03FF433C" w14:textId="29890CD5" w:rsidR="00047467" w:rsidRPr="00D04C62" w:rsidRDefault="00047467" w:rsidP="002F3690">
      <w:pPr>
        <w:numPr>
          <w:ilvl w:val="0"/>
          <w:numId w:val="57"/>
        </w:numPr>
        <w:tabs>
          <w:tab w:val="clear" w:pos="360"/>
          <w:tab w:val="num" w:pos="720"/>
        </w:tabs>
        <w:autoSpaceDE w:val="0"/>
        <w:autoSpaceDN w:val="0"/>
        <w:adjustRightInd w:val="0"/>
        <w:spacing w:after="0" w:line="240" w:lineRule="auto"/>
        <w:ind w:left="720"/>
        <w:rPr>
          <w:color w:val="000000"/>
        </w:rPr>
      </w:pPr>
      <w:r w:rsidRPr="00D04C62">
        <w:rPr>
          <w:color w:val="000000"/>
        </w:rPr>
        <w:t xml:space="preserve">the total expense </w:t>
      </w:r>
      <w:r w:rsidR="00BE3237" w:rsidRPr="00D04C62">
        <w:rPr>
          <w:color w:val="000000"/>
        </w:rPr>
        <w:t>recognized</w:t>
      </w:r>
      <w:r w:rsidRPr="00D04C62">
        <w:rPr>
          <w:color w:val="000000"/>
        </w:rPr>
        <w:t xml:space="preserve"> in profit or loss for each of the following, and</w:t>
      </w:r>
      <w:r>
        <w:rPr>
          <w:color w:val="000000"/>
        </w:rPr>
        <w:t xml:space="preserve"> </w:t>
      </w:r>
      <w:r w:rsidRPr="00D04C62">
        <w:rPr>
          <w:color w:val="000000"/>
        </w:rPr>
        <w:t>the line item(s) in which they are included:</w:t>
      </w:r>
    </w:p>
    <w:p w14:paraId="03FF4349" w14:textId="11B3C36D" w:rsidR="00047467" w:rsidRPr="00D04C62" w:rsidRDefault="003D34E1" w:rsidP="002F3690">
      <w:pPr>
        <w:numPr>
          <w:ilvl w:val="0"/>
          <w:numId w:val="57"/>
        </w:numPr>
        <w:tabs>
          <w:tab w:val="clear" w:pos="360"/>
          <w:tab w:val="num" w:pos="720"/>
        </w:tabs>
        <w:autoSpaceDE w:val="0"/>
        <w:autoSpaceDN w:val="0"/>
        <w:adjustRightInd w:val="0"/>
        <w:spacing w:after="0" w:line="240" w:lineRule="auto"/>
        <w:ind w:left="720"/>
        <w:rPr>
          <w:color w:val="000000"/>
        </w:rPr>
      </w:pPr>
      <w:r>
        <w:rPr>
          <w:color w:val="000000"/>
        </w:rPr>
        <w:t xml:space="preserve">Current service cost and the components of </w:t>
      </w:r>
      <w:r w:rsidR="00BE3237">
        <w:rPr>
          <w:color w:val="000000"/>
        </w:rPr>
        <w:t>such</w:t>
      </w:r>
      <w:r w:rsidR="00BE3237" w:rsidRPr="00D04C62">
        <w:rPr>
          <w:color w:val="000000"/>
        </w:rPr>
        <w:t xml:space="preserve"> for</w:t>
      </w:r>
      <w:r w:rsidR="00047467" w:rsidRPr="00D04C62">
        <w:rPr>
          <w:color w:val="000000"/>
        </w:rPr>
        <w:t xml:space="preserve"> each major category of plan assets, which shall include, but is not</w:t>
      </w:r>
      <w:r w:rsidR="00047467">
        <w:rPr>
          <w:color w:val="000000"/>
        </w:rPr>
        <w:t xml:space="preserve"> </w:t>
      </w:r>
      <w:r w:rsidR="00047467" w:rsidRPr="00D04C62">
        <w:rPr>
          <w:color w:val="000000"/>
        </w:rPr>
        <w:t>limited to, equity instruments, debt instruments, property, and all other</w:t>
      </w:r>
      <w:r w:rsidR="00047467">
        <w:rPr>
          <w:color w:val="000000"/>
        </w:rPr>
        <w:t xml:space="preserve"> </w:t>
      </w:r>
      <w:r w:rsidR="00047467" w:rsidRPr="00D04C62">
        <w:rPr>
          <w:color w:val="000000"/>
        </w:rPr>
        <w:t>assets, the percentage or amount that each major category constitutes of</w:t>
      </w:r>
      <w:r w:rsidR="00047467">
        <w:rPr>
          <w:color w:val="000000"/>
        </w:rPr>
        <w:t xml:space="preserve"> </w:t>
      </w:r>
      <w:r w:rsidR="00047467" w:rsidRPr="00D04C62">
        <w:rPr>
          <w:color w:val="000000"/>
        </w:rPr>
        <w:t>the fair value of the total plan assets.</w:t>
      </w:r>
    </w:p>
    <w:p w14:paraId="03FF434A" w14:textId="77777777" w:rsidR="00047467" w:rsidRPr="00D04C62" w:rsidRDefault="00047467" w:rsidP="002F3690">
      <w:pPr>
        <w:numPr>
          <w:ilvl w:val="0"/>
          <w:numId w:val="57"/>
        </w:numPr>
        <w:tabs>
          <w:tab w:val="clear" w:pos="360"/>
          <w:tab w:val="num" w:pos="720"/>
        </w:tabs>
        <w:autoSpaceDE w:val="0"/>
        <w:autoSpaceDN w:val="0"/>
        <w:adjustRightInd w:val="0"/>
        <w:spacing w:after="0" w:line="240" w:lineRule="auto"/>
        <w:ind w:left="720"/>
        <w:rPr>
          <w:color w:val="000000"/>
        </w:rPr>
      </w:pPr>
      <w:r w:rsidRPr="00D04C62">
        <w:rPr>
          <w:color w:val="000000"/>
        </w:rPr>
        <w:t>the amounts included in the fair value of plan assets for:</w:t>
      </w:r>
    </w:p>
    <w:p w14:paraId="03FF434B"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each category of the entity’s own financial instruments; and</w:t>
      </w:r>
    </w:p>
    <w:p w14:paraId="03FF434C"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any property occupied by, or other assets used by, the entity.</w:t>
      </w:r>
    </w:p>
    <w:p w14:paraId="03FF434D" w14:textId="77777777" w:rsidR="00047467" w:rsidRPr="00D04C62" w:rsidRDefault="00047467" w:rsidP="002F3690">
      <w:pPr>
        <w:numPr>
          <w:ilvl w:val="0"/>
          <w:numId w:val="57"/>
        </w:numPr>
        <w:tabs>
          <w:tab w:val="clear" w:pos="360"/>
          <w:tab w:val="num" w:pos="720"/>
        </w:tabs>
        <w:autoSpaceDE w:val="0"/>
        <w:autoSpaceDN w:val="0"/>
        <w:adjustRightInd w:val="0"/>
        <w:spacing w:after="0" w:line="240" w:lineRule="auto"/>
        <w:ind w:left="720"/>
        <w:rPr>
          <w:color w:val="000000"/>
        </w:rPr>
      </w:pPr>
      <w:r w:rsidRPr="00D04C62">
        <w:rPr>
          <w:color w:val="000000"/>
        </w:rPr>
        <w:t>a narrative description of the basis used to determine the overall expected</w:t>
      </w:r>
      <w:r>
        <w:rPr>
          <w:color w:val="000000"/>
        </w:rPr>
        <w:t xml:space="preserve"> </w:t>
      </w:r>
      <w:r w:rsidRPr="00D04C62">
        <w:rPr>
          <w:color w:val="000000"/>
        </w:rPr>
        <w:t>rate of return on assets, including the effect of the major categories of plan</w:t>
      </w:r>
      <w:r>
        <w:rPr>
          <w:color w:val="000000"/>
        </w:rPr>
        <w:t xml:space="preserve"> </w:t>
      </w:r>
      <w:r w:rsidRPr="00D04C62">
        <w:rPr>
          <w:color w:val="000000"/>
        </w:rPr>
        <w:t>assets.</w:t>
      </w:r>
    </w:p>
    <w:p w14:paraId="03FF434E" w14:textId="3C44C597" w:rsidR="00047467" w:rsidRPr="00D04C62" w:rsidRDefault="00047467" w:rsidP="002F3690">
      <w:pPr>
        <w:numPr>
          <w:ilvl w:val="0"/>
          <w:numId w:val="57"/>
        </w:numPr>
        <w:tabs>
          <w:tab w:val="clear" w:pos="360"/>
          <w:tab w:val="num" w:pos="720"/>
        </w:tabs>
        <w:autoSpaceDE w:val="0"/>
        <w:autoSpaceDN w:val="0"/>
        <w:adjustRightInd w:val="0"/>
        <w:spacing w:after="0" w:line="240" w:lineRule="auto"/>
        <w:ind w:left="720"/>
        <w:rPr>
          <w:color w:val="000000"/>
        </w:rPr>
      </w:pPr>
      <w:r w:rsidRPr="00D04C62">
        <w:rPr>
          <w:color w:val="000000"/>
        </w:rPr>
        <w:t>the actual return on plan assets, as well as the actual return on any</w:t>
      </w:r>
      <w:r>
        <w:rPr>
          <w:color w:val="000000"/>
        </w:rPr>
        <w:t xml:space="preserve"> </w:t>
      </w:r>
      <w:r w:rsidRPr="00D04C62">
        <w:rPr>
          <w:color w:val="000000"/>
        </w:rPr>
        <w:t xml:space="preserve">reimbursement right </w:t>
      </w:r>
      <w:r w:rsidR="00BE3237" w:rsidRPr="00D04C62">
        <w:rPr>
          <w:color w:val="000000"/>
        </w:rPr>
        <w:t>recognized</w:t>
      </w:r>
      <w:r w:rsidRPr="00D04C62">
        <w:rPr>
          <w:color w:val="000000"/>
        </w:rPr>
        <w:t xml:space="preserve"> as an asset in accordance with paragraph</w:t>
      </w:r>
      <w:r>
        <w:rPr>
          <w:color w:val="000000"/>
        </w:rPr>
        <w:t xml:space="preserve"> </w:t>
      </w:r>
      <w:r w:rsidRPr="00D04C62">
        <w:rPr>
          <w:color w:val="000000"/>
        </w:rPr>
        <w:t>104A.</w:t>
      </w:r>
    </w:p>
    <w:p w14:paraId="03FF434F" w14:textId="77777777" w:rsidR="00047467" w:rsidRPr="00D04C62" w:rsidRDefault="00047467" w:rsidP="002F3690">
      <w:pPr>
        <w:numPr>
          <w:ilvl w:val="0"/>
          <w:numId w:val="57"/>
        </w:numPr>
        <w:tabs>
          <w:tab w:val="clear" w:pos="360"/>
          <w:tab w:val="num" w:pos="720"/>
        </w:tabs>
        <w:autoSpaceDE w:val="0"/>
        <w:autoSpaceDN w:val="0"/>
        <w:adjustRightInd w:val="0"/>
        <w:spacing w:after="0" w:line="240" w:lineRule="auto"/>
        <w:ind w:left="720"/>
        <w:rPr>
          <w:color w:val="000000"/>
        </w:rPr>
      </w:pPr>
      <w:r w:rsidRPr="00D04C62">
        <w:rPr>
          <w:color w:val="000000"/>
        </w:rPr>
        <w:t>the principal actuarial assumptions used as at the end of the reporting</w:t>
      </w:r>
      <w:r>
        <w:rPr>
          <w:color w:val="000000"/>
        </w:rPr>
        <w:t xml:space="preserve"> </w:t>
      </w:r>
      <w:r w:rsidRPr="00D04C62">
        <w:rPr>
          <w:color w:val="000000"/>
        </w:rPr>
        <w:t>period, including, when applicable:</w:t>
      </w:r>
    </w:p>
    <w:p w14:paraId="03FF4350"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the discount rates;</w:t>
      </w:r>
    </w:p>
    <w:p w14:paraId="03FF4351"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the expected rates of return on any plan assets for the periods</w:t>
      </w:r>
      <w:r>
        <w:rPr>
          <w:color w:val="000000"/>
        </w:rPr>
        <w:t xml:space="preserve"> </w:t>
      </w:r>
      <w:r w:rsidRPr="00D04C62">
        <w:rPr>
          <w:color w:val="000000"/>
        </w:rPr>
        <w:t>presented in the financial statements;</w:t>
      </w:r>
    </w:p>
    <w:p w14:paraId="03FF4352" w14:textId="355D1570"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the expected rates of return for the periods presented in the financial</w:t>
      </w:r>
      <w:r>
        <w:rPr>
          <w:color w:val="000000"/>
        </w:rPr>
        <w:t xml:space="preserve"> </w:t>
      </w:r>
      <w:r w:rsidRPr="00D04C62">
        <w:rPr>
          <w:color w:val="000000"/>
        </w:rPr>
        <w:t xml:space="preserve">statements on any reimbursement right </w:t>
      </w:r>
      <w:r w:rsidR="00BE3237" w:rsidRPr="00D04C62">
        <w:rPr>
          <w:color w:val="000000"/>
        </w:rPr>
        <w:t>recognized</w:t>
      </w:r>
      <w:r w:rsidRPr="00D04C62">
        <w:rPr>
          <w:color w:val="000000"/>
        </w:rPr>
        <w:t xml:space="preserve"> as an asset in</w:t>
      </w:r>
      <w:r>
        <w:rPr>
          <w:color w:val="000000"/>
        </w:rPr>
        <w:t xml:space="preserve"> </w:t>
      </w:r>
      <w:r w:rsidRPr="00D04C62">
        <w:rPr>
          <w:color w:val="000000"/>
        </w:rPr>
        <w:t>accordance with paragraph 104A;</w:t>
      </w:r>
    </w:p>
    <w:p w14:paraId="03FF4353"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the expected rates of salary increases (and of changes in an index or</w:t>
      </w:r>
      <w:r>
        <w:rPr>
          <w:color w:val="000000"/>
        </w:rPr>
        <w:t xml:space="preserve"> </w:t>
      </w:r>
      <w:r w:rsidRPr="00D04C62">
        <w:rPr>
          <w:color w:val="000000"/>
        </w:rPr>
        <w:t>other variable specified in the formal or constructive terms of a plan</w:t>
      </w:r>
      <w:r>
        <w:rPr>
          <w:color w:val="000000"/>
        </w:rPr>
        <w:t xml:space="preserve"> </w:t>
      </w:r>
      <w:r w:rsidRPr="00D04C62">
        <w:rPr>
          <w:color w:val="000000"/>
        </w:rPr>
        <w:t>as the basis for future benefit increases);</w:t>
      </w:r>
    </w:p>
    <w:p w14:paraId="03FF4354"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medical cost trend rates; and</w:t>
      </w:r>
    </w:p>
    <w:p w14:paraId="03FF4355" w14:textId="77777777" w:rsidR="00047467" w:rsidRPr="00D04C62"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D04C62">
        <w:rPr>
          <w:color w:val="000000"/>
        </w:rPr>
        <w:t>any other material actuarial assumptions used.</w:t>
      </w:r>
    </w:p>
    <w:p w14:paraId="03FF4356" w14:textId="77777777" w:rsidR="00047467" w:rsidRPr="00ED1B51" w:rsidRDefault="00047467" w:rsidP="002F3690">
      <w:pPr>
        <w:numPr>
          <w:ilvl w:val="4"/>
          <w:numId w:val="57"/>
        </w:numPr>
        <w:tabs>
          <w:tab w:val="clear" w:pos="1800"/>
          <w:tab w:val="num" w:pos="2160"/>
        </w:tabs>
        <w:autoSpaceDE w:val="0"/>
        <w:autoSpaceDN w:val="0"/>
        <w:adjustRightInd w:val="0"/>
        <w:spacing w:after="0" w:line="240" w:lineRule="auto"/>
        <w:ind w:left="2160"/>
        <w:rPr>
          <w:color w:val="000000"/>
        </w:rPr>
      </w:pPr>
      <w:r w:rsidRPr="00D04C62">
        <w:rPr>
          <w:color w:val="000000"/>
        </w:rPr>
        <w:lastRenderedPageBreak/>
        <w:t>An entity shall disclose each actuarial assumption in absolute terms</w:t>
      </w:r>
      <w:r>
        <w:rPr>
          <w:color w:val="000000"/>
        </w:rPr>
        <w:t xml:space="preserve"> </w:t>
      </w:r>
      <w:r w:rsidRPr="00ED1B51">
        <w:rPr>
          <w:color w:val="000000"/>
        </w:rPr>
        <w:t>(for example, as an absolute percentage) and not just as a margin between</w:t>
      </w:r>
      <w:r>
        <w:rPr>
          <w:color w:val="000000"/>
        </w:rPr>
        <w:t xml:space="preserve"> </w:t>
      </w:r>
      <w:r w:rsidRPr="00ED1B51">
        <w:rPr>
          <w:color w:val="000000"/>
        </w:rPr>
        <w:t>different percentages or other variables.</w:t>
      </w:r>
    </w:p>
    <w:p w14:paraId="03FF4357" w14:textId="77777777" w:rsidR="00047467" w:rsidRPr="00ED1B51" w:rsidRDefault="00047467" w:rsidP="002F3690">
      <w:pPr>
        <w:numPr>
          <w:ilvl w:val="0"/>
          <w:numId w:val="57"/>
        </w:numPr>
        <w:tabs>
          <w:tab w:val="clear" w:pos="360"/>
          <w:tab w:val="num" w:pos="720"/>
        </w:tabs>
        <w:autoSpaceDE w:val="0"/>
        <w:autoSpaceDN w:val="0"/>
        <w:adjustRightInd w:val="0"/>
        <w:spacing w:after="0" w:line="240" w:lineRule="auto"/>
        <w:ind w:left="720"/>
        <w:rPr>
          <w:color w:val="000000"/>
        </w:rPr>
      </w:pPr>
      <w:r w:rsidRPr="00ED1B51">
        <w:rPr>
          <w:color w:val="000000"/>
        </w:rPr>
        <w:t>the effect of an increase of one percentage point and the effect of a decrease</w:t>
      </w:r>
      <w:r>
        <w:rPr>
          <w:color w:val="000000"/>
        </w:rPr>
        <w:t xml:space="preserve"> </w:t>
      </w:r>
      <w:r w:rsidRPr="00ED1B51">
        <w:rPr>
          <w:color w:val="000000"/>
        </w:rPr>
        <w:t>of one percentage point in the assumed medical cost trend rates on:</w:t>
      </w:r>
    </w:p>
    <w:p w14:paraId="03FF4358" w14:textId="77777777" w:rsidR="00047467" w:rsidRPr="00ED1B51"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ED1B51">
        <w:rPr>
          <w:color w:val="000000"/>
        </w:rPr>
        <w:t>the aggregate of the current service cost and interest cost components</w:t>
      </w:r>
      <w:r>
        <w:rPr>
          <w:color w:val="000000"/>
        </w:rPr>
        <w:t xml:space="preserve"> </w:t>
      </w:r>
      <w:r w:rsidRPr="00ED1B51">
        <w:rPr>
          <w:color w:val="000000"/>
        </w:rPr>
        <w:t>of net periodic post-employment medical costs; and</w:t>
      </w:r>
    </w:p>
    <w:p w14:paraId="03FF4359" w14:textId="77777777" w:rsidR="00047467" w:rsidRPr="00ED1B51"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ED1B51">
        <w:rPr>
          <w:color w:val="000000"/>
        </w:rPr>
        <w:t>the accumulated post-employment benefit obligation for medical</w:t>
      </w:r>
      <w:r>
        <w:rPr>
          <w:color w:val="000000"/>
        </w:rPr>
        <w:t xml:space="preserve"> </w:t>
      </w:r>
      <w:r w:rsidRPr="00ED1B51">
        <w:rPr>
          <w:color w:val="000000"/>
        </w:rPr>
        <w:t>costs.</w:t>
      </w:r>
    </w:p>
    <w:p w14:paraId="03FF435A" w14:textId="77777777" w:rsidR="00047467" w:rsidRPr="00ED1B51" w:rsidRDefault="00047467" w:rsidP="002F3690">
      <w:pPr>
        <w:numPr>
          <w:ilvl w:val="4"/>
          <w:numId w:val="57"/>
        </w:numPr>
        <w:tabs>
          <w:tab w:val="clear" w:pos="1800"/>
          <w:tab w:val="num" w:pos="2160"/>
        </w:tabs>
        <w:autoSpaceDE w:val="0"/>
        <w:autoSpaceDN w:val="0"/>
        <w:adjustRightInd w:val="0"/>
        <w:spacing w:after="0" w:line="240" w:lineRule="auto"/>
        <w:ind w:left="2160"/>
        <w:rPr>
          <w:color w:val="000000"/>
        </w:rPr>
      </w:pPr>
      <w:r w:rsidRPr="00ED1B51">
        <w:rPr>
          <w:color w:val="000000"/>
        </w:rPr>
        <w:t>For the purposes of this disclosure, all other assumptions shall be held</w:t>
      </w:r>
      <w:r>
        <w:rPr>
          <w:color w:val="000000"/>
        </w:rPr>
        <w:t xml:space="preserve"> </w:t>
      </w:r>
      <w:r w:rsidRPr="00ED1B51">
        <w:rPr>
          <w:color w:val="000000"/>
        </w:rPr>
        <w:t>constant. For plans operating in a high inflation environment, the</w:t>
      </w:r>
      <w:r>
        <w:rPr>
          <w:color w:val="000000"/>
        </w:rPr>
        <w:t xml:space="preserve"> </w:t>
      </w:r>
      <w:r w:rsidRPr="00ED1B51">
        <w:rPr>
          <w:color w:val="000000"/>
        </w:rPr>
        <w:t>disclosure shall be the effect of a percentage increase or decrease in the</w:t>
      </w:r>
      <w:r>
        <w:rPr>
          <w:color w:val="000000"/>
        </w:rPr>
        <w:t xml:space="preserve"> </w:t>
      </w:r>
      <w:r w:rsidRPr="00ED1B51">
        <w:rPr>
          <w:color w:val="000000"/>
        </w:rPr>
        <w:t>assumed medical cost trend rate of a significance similar to one percentage</w:t>
      </w:r>
      <w:r>
        <w:rPr>
          <w:color w:val="000000"/>
        </w:rPr>
        <w:t xml:space="preserve"> </w:t>
      </w:r>
      <w:r w:rsidRPr="00ED1B51">
        <w:rPr>
          <w:color w:val="000000"/>
        </w:rPr>
        <w:t>point in a low inflation environment.</w:t>
      </w:r>
    </w:p>
    <w:p w14:paraId="03FF435B" w14:textId="77777777" w:rsidR="00047467" w:rsidRPr="00ED1B51" w:rsidRDefault="00047467" w:rsidP="002F3690">
      <w:pPr>
        <w:numPr>
          <w:ilvl w:val="0"/>
          <w:numId w:val="57"/>
        </w:numPr>
        <w:tabs>
          <w:tab w:val="clear" w:pos="360"/>
          <w:tab w:val="num" w:pos="720"/>
        </w:tabs>
        <w:autoSpaceDE w:val="0"/>
        <w:autoSpaceDN w:val="0"/>
        <w:adjustRightInd w:val="0"/>
        <w:spacing w:after="0" w:line="240" w:lineRule="auto"/>
        <w:ind w:left="720"/>
        <w:rPr>
          <w:color w:val="000000"/>
        </w:rPr>
      </w:pPr>
      <w:r w:rsidRPr="00ED1B51">
        <w:rPr>
          <w:color w:val="000000"/>
        </w:rPr>
        <w:t>the amounts for the current annual period and previous four annual</w:t>
      </w:r>
      <w:r>
        <w:rPr>
          <w:color w:val="000000"/>
        </w:rPr>
        <w:t xml:space="preserve"> </w:t>
      </w:r>
      <w:r w:rsidRPr="00ED1B51">
        <w:rPr>
          <w:color w:val="000000"/>
        </w:rPr>
        <w:t>periods of:</w:t>
      </w:r>
    </w:p>
    <w:p w14:paraId="03FF435C" w14:textId="77777777" w:rsidR="00047467" w:rsidRPr="00ED1B51"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ED1B51">
        <w:rPr>
          <w:color w:val="000000"/>
        </w:rPr>
        <w:t>the present value of the defined benefit obligation, the fair value of</w:t>
      </w:r>
      <w:r>
        <w:rPr>
          <w:color w:val="000000"/>
        </w:rPr>
        <w:t xml:space="preserve"> </w:t>
      </w:r>
      <w:r w:rsidRPr="00ED1B51">
        <w:rPr>
          <w:color w:val="000000"/>
        </w:rPr>
        <w:t>the plan assets and the surplus or deficit in the plan; and</w:t>
      </w:r>
    </w:p>
    <w:p w14:paraId="03FF435D" w14:textId="77777777" w:rsidR="00047467" w:rsidRPr="00ED1B51" w:rsidRDefault="00047467" w:rsidP="002F3690">
      <w:pPr>
        <w:numPr>
          <w:ilvl w:val="1"/>
          <w:numId w:val="57"/>
        </w:numPr>
        <w:tabs>
          <w:tab w:val="clear" w:pos="720"/>
          <w:tab w:val="num" w:pos="1440"/>
        </w:tabs>
        <w:autoSpaceDE w:val="0"/>
        <w:autoSpaceDN w:val="0"/>
        <w:adjustRightInd w:val="0"/>
        <w:spacing w:after="0" w:line="240" w:lineRule="auto"/>
        <w:ind w:left="1440"/>
        <w:rPr>
          <w:color w:val="000000"/>
        </w:rPr>
      </w:pPr>
      <w:r w:rsidRPr="00ED1B51">
        <w:rPr>
          <w:color w:val="000000"/>
        </w:rPr>
        <w:t>the experience adjustments arising on:</w:t>
      </w:r>
    </w:p>
    <w:p w14:paraId="03FF435E" w14:textId="77777777" w:rsidR="00047467" w:rsidRPr="00ED1B51" w:rsidRDefault="00047467" w:rsidP="002F3690">
      <w:pPr>
        <w:numPr>
          <w:ilvl w:val="2"/>
          <w:numId w:val="57"/>
        </w:numPr>
        <w:tabs>
          <w:tab w:val="clear" w:pos="1080"/>
          <w:tab w:val="num" w:pos="1800"/>
        </w:tabs>
        <w:autoSpaceDE w:val="0"/>
        <w:autoSpaceDN w:val="0"/>
        <w:adjustRightInd w:val="0"/>
        <w:spacing w:after="0" w:line="240" w:lineRule="auto"/>
        <w:ind w:left="1800"/>
        <w:rPr>
          <w:color w:val="000000"/>
        </w:rPr>
      </w:pPr>
      <w:r w:rsidRPr="00ED1B51">
        <w:rPr>
          <w:color w:val="000000"/>
        </w:rPr>
        <w:t>the plan liabilities expressed either as (1) an amount or (2) a</w:t>
      </w:r>
      <w:r>
        <w:rPr>
          <w:color w:val="000000"/>
        </w:rPr>
        <w:t xml:space="preserve"> </w:t>
      </w:r>
      <w:r w:rsidRPr="00ED1B51">
        <w:rPr>
          <w:color w:val="000000"/>
        </w:rPr>
        <w:t>percentage of the plan liabilities at the end of the reporting</w:t>
      </w:r>
      <w:r>
        <w:rPr>
          <w:color w:val="000000"/>
        </w:rPr>
        <w:t xml:space="preserve"> </w:t>
      </w:r>
      <w:r w:rsidRPr="00ED1B51">
        <w:rPr>
          <w:color w:val="000000"/>
        </w:rPr>
        <w:t>period and</w:t>
      </w:r>
    </w:p>
    <w:p w14:paraId="03FF435F" w14:textId="77777777" w:rsidR="00047467" w:rsidRPr="00ED1B51" w:rsidRDefault="00047467" w:rsidP="002F3690">
      <w:pPr>
        <w:numPr>
          <w:ilvl w:val="2"/>
          <w:numId w:val="57"/>
        </w:numPr>
        <w:tabs>
          <w:tab w:val="clear" w:pos="1080"/>
          <w:tab w:val="num" w:pos="1800"/>
        </w:tabs>
        <w:autoSpaceDE w:val="0"/>
        <w:autoSpaceDN w:val="0"/>
        <w:adjustRightInd w:val="0"/>
        <w:spacing w:after="0" w:line="240" w:lineRule="auto"/>
        <w:ind w:left="1800"/>
        <w:rPr>
          <w:color w:val="000000"/>
        </w:rPr>
      </w:pPr>
      <w:r w:rsidRPr="00ED1B51">
        <w:rPr>
          <w:color w:val="000000"/>
        </w:rPr>
        <w:t>the plan assets expressed either as (1) an amount or (2) a</w:t>
      </w:r>
      <w:r>
        <w:rPr>
          <w:color w:val="000000"/>
        </w:rPr>
        <w:t xml:space="preserve"> </w:t>
      </w:r>
      <w:r w:rsidRPr="00ED1B51">
        <w:rPr>
          <w:color w:val="000000"/>
        </w:rPr>
        <w:t>percentage of the plan assets at the end of the reporting</w:t>
      </w:r>
      <w:r>
        <w:rPr>
          <w:color w:val="000000"/>
        </w:rPr>
        <w:t xml:space="preserve"> </w:t>
      </w:r>
      <w:r w:rsidRPr="00ED1B51">
        <w:rPr>
          <w:color w:val="000000"/>
        </w:rPr>
        <w:t>period.</w:t>
      </w:r>
    </w:p>
    <w:p w14:paraId="03FF4360" w14:textId="77777777" w:rsidR="00047467" w:rsidRPr="00ED1B51" w:rsidRDefault="00047467" w:rsidP="002F3690">
      <w:pPr>
        <w:numPr>
          <w:ilvl w:val="0"/>
          <w:numId w:val="57"/>
        </w:numPr>
        <w:tabs>
          <w:tab w:val="clear" w:pos="360"/>
          <w:tab w:val="num" w:pos="720"/>
        </w:tabs>
        <w:autoSpaceDE w:val="0"/>
        <w:autoSpaceDN w:val="0"/>
        <w:adjustRightInd w:val="0"/>
        <w:spacing w:after="0" w:line="240" w:lineRule="auto"/>
        <w:ind w:left="720"/>
        <w:rPr>
          <w:color w:val="000000"/>
        </w:rPr>
      </w:pPr>
      <w:r w:rsidRPr="00ED1B51">
        <w:rPr>
          <w:color w:val="000000"/>
        </w:rPr>
        <w:t>the employer’s best estimate, as soon as it can reasonably be determined, of</w:t>
      </w:r>
      <w:r>
        <w:rPr>
          <w:color w:val="000000"/>
        </w:rPr>
        <w:t xml:space="preserve"> </w:t>
      </w:r>
      <w:r w:rsidRPr="00ED1B51">
        <w:rPr>
          <w:color w:val="000000"/>
        </w:rPr>
        <w:t>contributions expected to be paid to the plan during the annual period</w:t>
      </w:r>
      <w:r>
        <w:rPr>
          <w:color w:val="000000"/>
        </w:rPr>
        <w:t xml:space="preserve"> </w:t>
      </w:r>
      <w:r w:rsidRPr="00ED1B51">
        <w:rPr>
          <w:color w:val="000000"/>
        </w:rPr>
        <w:t>beginning after the reporting period.</w:t>
      </w:r>
    </w:p>
    <w:p w14:paraId="03FF4361" w14:textId="77777777" w:rsidR="00047467" w:rsidRDefault="00047467" w:rsidP="002F3690">
      <w:pPr>
        <w:autoSpaceDE w:val="0"/>
        <w:autoSpaceDN w:val="0"/>
        <w:adjustRightInd w:val="0"/>
        <w:spacing w:after="0" w:line="240" w:lineRule="auto"/>
        <w:rPr>
          <w:rFonts w:ascii="SwiftLTPro-Regular" w:hAnsi="SwiftLTPro-Regular" w:cs="SwiftLTPro-Regular"/>
          <w:sz w:val="17"/>
          <w:szCs w:val="17"/>
        </w:rPr>
      </w:pPr>
    </w:p>
    <w:p w14:paraId="03FF4362" w14:textId="4F0C2C86" w:rsidR="00047467" w:rsidRPr="00D04C62" w:rsidRDefault="00047467" w:rsidP="002F3690">
      <w:pPr>
        <w:autoSpaceDE w:val="0"/>
        <w:autoSpaceDN w:val="0"/>
        <w:adjustRightInd w:val="0"/>
        <w:spacing w:after="0" w:line="240" w:lineRule="auto"/>
        <w:rPr>
          <w:color w:val="000000"/>
        </w:rPr>
      </w:pPr>
      <w:r w:rsidRPr="00D04C62">
        <w:rPr>
          <w:color w:val="000000"/>
        </w:rPr>
        <w:t xml:space="preserve">Paragraph </w:t>
      </w:r>
      <w:r w:rsidR="00BE3237" w:rsidRPr="00D04C62">
        <w:rPr>
          <w:color w:val="000000"/>
        </w:rPr>
        <w:t>120A (</w:t>
      </w:r>
      <w:r w:rsidRPr="00D04C62">
        <w:rPr>
          <w:color w:val="000000"/>
        </w:rPr>
        <w:t>b) requires a general description of the type of plan. Such a</w:t>
      </w:r>
      <w:r>
        <w:rPr>
          <w:color w:val="000000"/>
        </w:rPr>
        <w:t xml:space="preserve"> </w:t>
      </w:r>
      <w:r w:rsidRPr="00D04C62">
        <w:rPr>
          <w:color w:val="000000"/>
        </w:rPr>
        <w:t>description distinguishes, for example, flat salary pension plans from final salary</w:t>
      </w:r>
      <w:r>
        <w:rPr>
          <w:color w:val="000000"/>
        </w:rPr>
        <w:t xml:space="preserve"> </w:t>
      </w:r>
      <w:r w:rsidRPr="00D04C62">
        <w:rPr>
          <w:color w:val="000000"/>
        </w:rPr>
        <w:t>pension plans and from post-employment medical plans. The description of the</w:t>
      </w:r>
      <w:r>
        <w:rPr>
          <w:color w:val="000000"/>
        </w:rPr>
        <w:t xml:space="preserve"> </w:t>
      </w:r>
      <w:r w:rsidRPr="00D04C62">
        <w:rPr>
          <w:color w:val="000000"/>
        </w:rPr>
        <w:t>plan shall include informal practices that give rise to constructive obligations</w:t>
      </w:r>
      <w:r>
        <w:rPr>
          <w:color w:val="000000"/>
        </w:rPr>
        <w:t xml:space="preserve"> </w:t>
      </w:r>
      <w:r w:rsidRPr="00D04C62">
        <w:rPr>
          <w:color w:val="000000"/>
        </w:rPr>
        <w:t>included in the measurement of the defined benefit obligation in accordance</w:t>
      </w:r>
    </w:p>
    <w:p w14:paraId="03FF4363" w14:textId="77777777" w:rsidR="00047467" w:rsidRPr="00D04C62" w:rsidRDefault="00047467" w:rsidP="002F3690">
      <w:pPr>
        <w:autoSpaceDE w:val="0"/>
        <w:autoSpaceDN w:val="0"/>
        <w:adjustRightInd w:val="0"/>
        <w:spacing w:after="0" w:line="240" w:lineRule="auto"/>
        <w:rPr>
          <w:color w:val="000000"/>
        </w:rPr>
      </w:pPr>
      <w:r w:rsidRPr="00D04C62">
        <w:rPr>
          <w:color w:val="000000"/>
        </w:rPr>
        <w:t>with paragraph 52. Further detail is not required.</w:t>
      </w:r>
    </w:p>
    <w:p w14:paraId="03FF4364" w14:textId="77777777" w:rsidR="00047467" w:rsidRPr="00D04C62" w:rsidRDefault="00047467" w:rsidP="002F3690">
      <w:pPr>
        <w:autoSpaceDE w:val="0"/>
        <w:autoSpaceDN w:val="0"/>
        <w:adjustRightInd w:val="0"/>
        <w:spacing w:after="0" w:line="240" w:lineRule="auto"/>
        <w:rPr>
          <w:color w:val="000000"/>
        </w:rPr>
      </w:pPr>
    </w:p>
    <w:p w14:paraId="03FF4365" w14:textId="77777777" w:rsidR="00047467" w:rsidRPr="00D04C62" w:rsidRDefault="00047467" w:rsidP="002F3690">
      <w:pPr>
        <w:autoSpaceDE w:val="0"/>
        <w:autoSpaceDN w:val="0"/>
        <w:adjustRightInd w:val="0"/>
        <w:spacing w:after="0" w:line="240" w:lineRule="auto"/>
        <w:rPr>
          <w:color w:val="000000"/>
        </w:rPr>
      </w:pPr>
      <w:r w:rsidRPr="00D04C62">
        <w:rPr>
          <w:color w:val="000000"/>
        </w:rPr>
        <w:t>When an entity has more than one defined benefit plan, disclosures may be made</w:t>
      </w:r>
      <w:r>
        <w:rPr>
          <w:color w:val="000000"/>
        </w:rPr>
        <w:t xml:space="preserve"> </w:t>
      </w:r>
      <w:r w:rsidRPr="00D04C62">
        <w:rPr>
          <w:color w:val="000000"/>
        </w:rPr>
        <w:t>in total, separately for each plan, or in such groupings as are considered to be the</w:t>
      </w:r>
      <w:r>
        <w:rPr>
          <w:color w:val="000000"/>
        </w:rPr>
        <w:t xml:space="preserve"> </w:t>
      </w:r>
      <w:r w:rsidRPr="00D04C62">
        <w:rPr>
          <w:color w:val="000000"/>
        </w:rPr>
        <w:t>most useful. It may be useful to distinguish groupings by criteria such as the</w:t>
      </w:r>
      <w:r>
        <w:rPr>
          <w:color w:val="000000"/>
        </w:rPr>
        <w:t xml:space="preserve"> </w:t>
      </w:r>
      <w:r w:rsidRPr="00D04C62">
        <w:rPr>
          <w:color w:val="000000"/>
        </w:rPr>
        <w:t>following:</w:t>
      </w:r>
    </w:p>
    <w:p w14:paraId="03FF4366" w14:textId="77777777" w:rsidR="00047467" w:rsidRDefault="00047467" w:rsidP="002F3690">
      <w:pPr>
        <w:autoSpaceDE w:val="0"/>
        <w:autoSpaceDN w:val="0"/>
        <w:adjustRightInd w:val="0"/>
        <w:spacing w:after="0" w:line="240" w:lineRule="auto"/>
        <w:ind w:left="720"/>
        <w:rPr>
          <w:color w:val="000000"/>
        </w:rPr>
      </w:pPr>
    </w:p>
    <w:p w14:paraId="03FF4367" w14:textId="77777777" w:rsidR="00047467" w:rsidRDefault="00047467" w:rsidP="002F3690">
      <w:pPr>
        <w:numPr>
          <w:ilvl w:val="4"/>
          <w:numId w:val="58"/>
        </w:numPr>
        <w:tabs>
          <w:tab w:val="clear" w:pos="1800"/>
          <w:tab w:val="left" w:pos="720"/>
        </w:tabs>
        <w:autoSpaceDE w:val="0"/>
        <w:autoSpaceDN w:val="0"/>
        <w:adjustRightInd w:val="0"/>
        <w:spacing w:after="0" w:line="240" w:lineRule="auto"/>
        <w:ind w:left="720"/>
        <w:rPr>
          <w:color w:val="000000"/>
        </w:rPr>
      </w:pPr>
      <w:r w:rsidRPr="00D04C62">
        <w:rPr>
          <w:color w:val="000000"/>
        </w:rPr>
        <w:t>the geographical location of the plans, for example, by distinguishing</w:t>
      </w:r>
      <w:r>
        <w:rPr>
          <w:color w:val="000000"/>
        </w:rPr>
        <w:t xml:space="preserve"> </w:t>
      </w:r>
      <w:r w:rsidRPr="00D04C62">
        <w:rPr>
          <w:color w:val="000000"/>
        </w:rPr>
        <w:t>domestic plans from foreign plans; or</w:t>
      </w:r>
    </w:p>
    <w:p w14:paraId="03FF4368" w14:textId="77777777" w:rsidR="00047467" w:rsidRPr="00D04C62" w:rsidRDefault="00047467" w:rsidP="002F3690">
      <w:pPr>
        <w:autoSpaceDE w:val="0"/>
        <w:autoSpaceDN w:val="0"/>
        <w:adjustRightInd w:val="0"/>
        <w:spacing w:after="0" w:line="240" w:lineRule="auto"/>
        <w:rPr>
          <w:color w:val="000000"/>
        </w:rPr>
      </w:pPr>
    </w:p>
    <w:p w14:paraId="03FF4369" w14:textId="77777777" w:rsidR="00047467" w:rsidRPr="00D04C62" w:rsidRDefault="00047467" w:rsidP="002F3690">
      <w:pPr>
        <w:numPr>
          <w:ilvl w:val="4"/>
          <w:numId w:val="58"/>
        </w:numPr>
        <w:tabs>
          <w:tab w:val="clear" w:pos="1800"/>
          <w:tab w:val="num" w:pos="720"/>
        </w:tabs>
        <w:autoSpaceDE w:val="0"/>
        <w:autoSpaceDN w:val="0"/>
        <w:adjustRightInd w:val="0"/>
        <w:spacing w:after="0" w:line="240" w:lineRule="auto"/>
        <w:ind w:left="720"/>
        <w:rPr>
          <w:color w:val="000000"/>
        </w:rPr>
      </w:pPr>
      <w:r w:rsidRPr="00D04C62">
        <w:rPr>
          <w:color w:val="000000"/>
        </w:rPr>
        <w:t>whether plans are subject to materially different risks, for example, by</w:t>
      </w:r>
      <w:r>
        <w:rPr>
          <w:color w:val="000000"/>
        </w:rPr>
        <w:t xml:space="preserve"> </w:t>
      </w:r>
      <w:r w:rsidRPr="00D04C62">
        <w:rPr>
          <w:color w:val="000000"/>
        </w:rPr>
        <w:t>distinguishing flat salary pension plans from final salary pension plans</w:t>
      </w:r>
      <w:r>
        <w:rPr>
          <w:color w:val="000000"/>
        </w:rPr>
        <w:t xml:space="preserve"> </w:t>
      </w:r>
      <w:r w:rsidRPr="00D04C62">
        <w:rPr>
          <w:color w:val="000000"/>
        </w:rPr>
        <w:t>and from post-employment medical plans.</w:t>
      </w:r>
    </w:p>
    <w:p w14:paraId="03FF436A" w14:textId="77777777" w:rsidR="00047467" w:rsidRDefault="00047467" w:rsidP="002F3690">
      <w:pPr>
        <w:autoSpaceDE w:val="0"/>
        <w:autoSpaceDN w:val="0"/>
        <w:adjustRightInd w:val="0"/>
        <w:spacing w:after="0" w:line="240" w:lineRule="auto"/>
        <w:rPr>
          <w:color w:val="000000"/>
        </w:rPr>
      </w:pPr>
    </w:p>
    <w:p w14:paraId="03FF436B" w14:textId="77777777" w:rsidR="00047467" w:rsidRPr="00DE5681" w:rsidRDefault="00047467" w:rsidP="002F3690">
      <w:pPr>
        <w:autoSpaceDE w:val="0"/>
        <w:autoSpaceDN w:val="0"/>
        <w:adjustRightInd w:val="0"/>
        <w:spacing w:after="0" w:line="240" w:lineRule="auto"/>
      </w:pPr>
      <w:r w:rsidRPr="00D04C62">
        <w:t>When an entity provides disclosures in total for a grouping of plans, such</w:t>
      </w:r>
      <w:r>
        <w:t xml:space="preserve"> </w:t>
      </w:r>
      <w:r w:rsidRPr="00D04C62">
        <w:t>disclosures are provided in the form of weighted averages or of relatively narrow</w:t>
      </w:r>
      <w:r>
        <w:t xml:space="preserve"> </w:t>
      </w:r>
      <w:r w:rsidRPr="00D04C62">
        <w:t>ranges.</w:t>
      </w:r>
    </w:p>
    <w:p w14:paraId="03FF436D" w14:textId="77777777" w:rsidR="00047467" w:rsidRPr="00724D83" w:rsidRDefault="00047467" w:rsidP="00D55BB2">
      <w:pPr>
        <w:pStyle w:val="Head1"/>
        <w:spacing w:after="0"/>
      </w:pPr>
      <w:r w:rsidRPr="00724D83">
        <w:lastRenderedPageBreak/>
        <w:t>Income statement presentation</w:t>
      </w:r>
    </w:p>
    <w:p w14:paraId="03FF436E" w14:textId="41352689" w:rsidR="00047467" w:rsidRPr="00724D83" w:rsidRDefault="00047467" w:rsidP="002F3690">
      <w:pPr>
        <w:pStyle w:val="Text1kwn"/>
      </w:pPr>
      <w:r w:rsidRPr="00724D83">
        <w:t xml:space="preserve">The </w:t>
      </w:r>
      <w:r w:rsidR="0050105D">
        <w:t>Group</w:t>
      </w:r>
      <w:r w:rsidRPr="00724D83">
        <w:t xml:space="preserve"> recognizes net periodic pension cost in </w:t>
      </w:r>
      <w:r>
        <w:t>SG&amp;A</w:t>
      </w:r>
      <w:r w:rsidRPr="00724D83">
        <w:t xml:space="preserve"> in the Income Statement.</w:t>
      </w:r>
    </w:p>
    <w:tbl>
      <w:tblPr>
        <w:tblW w:w="5000" w:type="pct"/>
        <w:tblLook w:val="00A0" w:firstRow="1" w:lastRow="0" w:firstColumn="1" w:lastColumn="0" w:noHBand="0" w:noVBand="0"/>
      </w:tblPr>
      <w:tblGrid>
        <w:gridCol w:w="5328"/>
        <w:gridCol w:w="222"/>
        <w:gridCol w:w="1836"/>
        <w:gridCol w:w="222"/>
        <w:gridCol w:w="1752"/>
      </w:tblGrid>
      <w:tr w:rsidR="00047467" w:rsidRPr="00724D83" w14:paraId="03FF4372" w14:textId="77777777" w:rsidTr="0098070F">
        <w:tc>
          <w:tcPr>
            <w:tcW w:w="5330" w:type="dxa"/>
            <w:tcBorders>
              <w:top w:val="nil"/>
              <w:left w:val="nil"/>
              <w:bottom w:val="nil"/>
              <w:right w:val="nil"/>
            </w:tcBorders>
            <w:noWrap/>
            <w:vAlign w:val="bottom"/>
          </w:tcPr>
          <w:p w14:paraId="03FF436F" w14:textId="77777777" w:rsidR="00047467" w:rsidRPr="00724D83" w:rsidRDefault="00047467" w:rsidP="0098070F">
            <w:pPr>
              <w:spacing w:after="0" w:line="240" w:lineRule="auto"/>
              <w:rPr>
                <w:rFonts w:ascii="\" w:hAnsi="\"/>
                <w:b/>
                <w:bCs/>
                <w:color w:val="000000"/>
              </w:rPr>
            </w:pPr>
            <w:r w:rsidRPr="00724D83">
              <w:rPr>
                <w:rFonts w:ascii="\" w:hAnsi="\"/>
                <w:b/>
                <w:bCs/>
                <w:color w:val="000000"/>
              </w:rPr>
              <w:t>Amounts recognized in the balance sheet</w:t>
            </w:r>
          </w:p>
        </w:tc>
        <w:tc>
          <w:tcPr>
            <w:tcW w:w="221" w:type="dxa"/>
            <w:tcBorders>
              <w:top w:val="nil"/>
              <w:left w:val="nil"/>
              <w:bottom w:val="nil"/>
              <w:right w:val="nil"/>
            </w:tcBorders>
            <w:noWrap/>
            <w:vAlign w:val="bottom"/>
          </w:tcPr>
          <w:p w14:paraId="03FF4370" w14:textId="77777777" w:rsidR="00047467" w:rsidRPr="00724D83" w:rsidRDefault="00047467" w:rsidP="0098070F">
            <w:pPr>
              <w:spacing w:after="0" w:line="240" w:lineRule="auto"/>
              <w:rPr>
                <w:rFonts w:ascii="\" w:hAnsi="\"/>
                <w:color w:val="000000"/>
              </w:rPr>
            </w:pPr>
          </w:p>
        </w:tc>
        <w:tc>
          <w:tcPr>
            <w:tcW w:w="3809" w:type="dxa"/>
            <w:gridSpan w:val="3"/>
            <w:tcBorders>
              <w:top w:val="nil"/>
              <w:left w:val="nil"/>
              <w:bottom w:val="single" w:sz="4" w:space="0" w:color="auto"/>
              <w:right w:val="nil"/>
            </w:tcBorders>
            <w:noWrap/>
            <w:vAlign w:val="bottom"/>
          </w:tcPr>
          <w:p w14:paraId="03FF4371" w14:textId="77777777" w:rsidR="00047467" w:rsidRPr="00724D83" w:rsidRDefault="00047467" w:rsidP="0098070F">
            <w:pPr>
              <w:spacing w:after="0" w:line="240" w:lineRule="auto"/>
              <w:jc w:val="center"/>
              <w:rPr>
                <w:rFonts w:ascii="\" w:hAnsi="\"/>
                <w:b/>
                <w:bCs/>
                <w:color w:val="000000"/>
              </w:rPr>
            </w:pPr>
            <w:r w:rsidRPr="00724D83">
              <w:rPr>
                <w:rFonts w:ascii="\" w:hAnsi="\"/>
                <w:b/>
                <w:bCs/>
                <w:color w:val="000000"/>
              </w:rPr>
              <w:t>December 31,</w:t>
            </w:r>
          </w:p>
        </w:tc>
      </w:tr>
      <w:tr w:rsidR="00047467" w:rsidRPr="00724D83" w14:paraId="03FF4378" w14:textId="77777777" w:rsidTr="0098070F">
        <w:tc>
          <w:tcPr>
            <w:tcW w:w="5330" w:type="dxa"/>
            <w:tcBorders>
              <w:top w:val="nil"/>
              <w:left w:val="nil"/>
              <w:bottom w:val="nil"/>
              <w:right w:val="nil"/>
            </w:tcBorders>
            <w:noWrap/>
            <w:vAlign w:val="bottom"/>
          </w:tcPr>
          <w:p w14:paraId="03FF4373" w14:textId="77777777" w:rsidR="00047467" w:rsidRPr="00724D83" w:rsidRDefault="00047467" w:rsidP="0098070F">
            <w:pPr>
              <w:spacing w:after="0" w:line="240" w:lineRule="auto"/>
              <w:rPr>
                <w:rFonts w:ascii="\" w:hAnsi="\"/>
                <w:b/>
                <w:bCs/>
                <w:color w:val="000000"/>
              </w:rPr>
            </w:pPr>
          </w:p>
        </w:tc>
        <w:tc>
          <w:tcPr>
            <w:tcW w:w="221" w:type="dxa"/>
            <w:tcBorders>
              <w:top w:val="nil"/>
              <w:left w:val="nil"/>
              <w:bottom w:val="nil"/>
              <w:right w:val="nil"/>
            </w:tcBorders>
            <w:noWrap/>
            <w:vAlign w:val="bottom"/>
          </w:tcPr>
          <w:p w14:paraId="03FF4374" w14:textId="77777777" w:rsidR="00047467" w:rsidRPr="00724D83" w:rsidRDefault="00047467" w:rsidP="0098070F">
            <w:pPr>
              <w:spacing w:after="0" w:line="240" w:lineRule="auto"/>
              <w:rPr>
                <w:rFonts w:ascii="\" w:hAnsi="\"/>
                <w:color w:val="000000"/>
              </w:rPr>
            </w:pPr>
          </w:p>
        </w:tc>
        <w:tc>
          <w:tcPr>
            <w:tcW w:w="1836" w:type="dxa"/>
            <w:tcBorders>
              <w:top w:val="nil"/>
              <w:left w:val="nil"/>
              <w:bottom w:val="single" w:sz="4" w:space="0" w:color="auto"/>
              <w:right w:val="nil"/>
            </w:tcBorders>
            <w:noWrap/>
            <w:vAlign w:val="bottom"/>
          </w:tcPr>
          <w:p w14:paraId="03FF4375" w14:textId="77777777" w:rsidR="00047467" w:rsidRPr="00724D83" w:rsidRDefault="00047467" w:rsidP="0098070F">
            <w:pPr>
              <w:spacing w:after="0" w:line="240" w:lineRule="auto"/>
              <w:jc w:val="center"/>
              <w:rPr>
                <w:rFonts w:ascii="\" w:hAnsi="\"/>
                <w:b/>
                <w:bCs/>
                <w:color w:val="000000"/>
              </w:rPr>
            </w:pPr>
            <w:r w:rsidRPr="00724D83">
              <w:rPr>
                <w:rFonts w:ascii="\" w:hAnsi="\"/>
                <w:b/>
                <w:bCs/>
                <w:color w:val="000000"/>
              </w:rPr>
              <w:t>20X1</w:t>
            </w:r>
          </w:p>
        </w:tc>
        <w:tc>
          <w:tcPr>
            <w:tcW w:w="221" w:type="dxa"/>
            <w:tcBorders>
              <w:top w:val="nil"/>
              <w:left w:val="nil"/>
              <w:bottom w:val="nil"/>
              <w:right w:val="nil"/>
            </w:tcBorders>
            <w:noWrap/>
            <w:vAlign w:val="bottom"/>
          </w:tcPr>
          <w:p w14:paraId="03FF4376" w14:textId="77777777" w:rsidR="00047467" w:rsidRPr="00724D83" w:rsidRDefault="00047467" w:rsidP="0098070F">
            <w:pPr>
              <w:spacing w:after="0" w:line="240" w:lineRule="auto"/>
              <w:jc w:val="center"/>
              <w:rPr>
                <w:rFonts w:ascii="\" w:hAnsi="\"/>
                <w:color w:val="000000"/>
              </w:rPr>
            </w:pPr>
          </w:p>
        </w:tc>
        <w:tc>
          <w:tcPr>
            <w:tcW w:w="1752" w:type="dxa"/>
            <w:tcBorders>
              <w:top w:val="nil"/>
              <w:left w:val="nil"/>
              <w:bottom w:val="single" w:sz="4" w:space="0" w:color="auto"/>
              <w:right w:val="nil"/>
            </w:tcBorders>
            <w:noWrap/>
            <w:vAlign w:val="bottom"/>
          </w:tcPr>
          <w:p w14:paraId="03FF4377" w14:textId="77777777" w:rsidR="00047467" w:rsidRPr="00724D83" w:rsidRDefault="00047467" w:rsidP="0098070F">
            <w:pPr>
              <w:spacing w:after="0" w:line="240" w:lineRule="auto"/>
              <w:jc w:val="center"/>
              <w:rPr>
                <w:rFonts w:ascii="\" w:hAnsi="\"/>
                <w:b/>
                <w:bCs/>
                <w:color w:val="000000"/>
              </w:rPr>
            </w:pPr>
            <w:r w:rsidRPr="00724D83">
              <w:rPr>
                <w:rFonts w:ascii="\" w:hAnsi="\"/>
                <w:b/>
                <w:bCs/>
                <w:color w:val="000000"/>
              </w:rPr>
              <w:t>20XX</w:t>
            </w:r>
          </w:p>
        </w:tc>
      </w:tr>
      <w:tr w:rsidR="00047467" w:rsidRPr="00724D83" w14:paraId="03FF437E" w14:textId="77777777" w:rsidTr="0098070F">
        <w:tc>
          <w:tcPr>
            <w:tcW w:w="5330" w:type="dxa"/>
            <w:tcBorders>
              <w:top w:val="nil"/>
              <w:left w:val="nil"/>
              <w:bottom w:val="nil"/>
              <w:right w:val="nil"/>
            </w:tcBorders>
            <w:noWrap/>
            <w:vAlign w:val="bottom"/>
          </w:tcPr>
          <w:p w14:paraId="03FF4379" w14:textId="77777777" w:rsidR="00047467" w:rsidRPr="00724D83" w:rsidRDefault="00047467" w:rsidP="0098070F">
            <w:pPr>
              <w:spacing w:after="0" w:line="240" w:lineRule="auto"/>
              <w:rPr>
                <w:rFonts w:ascii="\" w:hAnsi="\"/>
                <w:color w:val="000000"/>
              </w:rPr>
            </w:pPr>
            <w:r w:rsidRPr="00724D83">
              <w:rPr>
                <w:rFonts w:ascii="\" w:hAnsi="\"/>
                <w:color w:val="000000"/>
              </w:rPr>
              <w:t>Present value of funded obligations</w:t>
            </w:r>
          </w:p>
        </w:tc>
        <w:tc>
          <w:tcPr>
            <w:tcW w:w="221" w:type="dxa"/>
            <w:tcBorders>
              <w:top w:val="nil"/>
              <w:left w:val="nil"/>
              <w:bottom w:val="nil"/>
              <w:right w:val="nil"/>
            </w:tcBorders>
            <w:noWrap/>
            <w:vAlign w:val="bottom"/>
          </w:tcPr>
          <w:p w14:paraId="03FF437A"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37B" w14:textId="77777777" w:rsidR="00047467" w:rsidRPr="00724D83" w:rsidRDefault="00047467" w:rsidP="0098070F">
            <w:pPr>
              <w:spacing w:after="0" w:line="240" w:lineRule="auto"/>
              <w:rPr>
                <w:rFonts w:ascii="\" w:hAnsi="\"/>
                <w:color w:val="000000"/>
              </w:rPr>
            </w:pPr>
          </w:p>
        </w:tc>
        <w:tc>
          <w:tcPr>
            <w:tcW w:w="221" w:type="dxa"/>
            <w:tcBorders>
              <w:top w:val="nil"/>
              <w:left w:val="nil"/>
              <w:bottom w:val="nil"/>
              <w:right w:val="nil"/>
            </w:tcBorders>
            <w:noWrap/>
            <w:vAlign w:val="bottom"/>
          </w:tcPr>
          <w:p w14:paraId="03FF437C"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37D" w14:textId="77777777" w:rsidR="00047467" w:rsidRPr="00724D83" w:rsidRDefault="00047467" w:rsidP="0098070F">
            <w:pPr>
              <w:spacing w:after="0" w:line="240" w:lineRule="auto"/>
              <w:rPr>
                <w:rFonts w:ascii="\" w:hAnsi="\"/>
                <w:color w:val="000000"/>
              </w:rPr>
            </w:pPr>
          </w:p>
        </w:tc>
      </w:tr>
      <w:tr w:rsidR="00047467" w:rsidRPr="00724D83" w14:paraId="03FF4384" w14:textId="77777777" w:rsidTr="0098070F">
        <w:tc>
          <w:tcPr>
            <w:tcW w:w="5330" w:type="dxa"/>
            <w:tcBorders>
              <w:top w:val="nil"/>
              <w:left w:val="nil"/>
              <w:bottom w:val="nil"/>
              <w:right w:val="nil"/>
            </w:tcBorders>
            <w:noWrap/>
            <w:vAlign w:val="bottom"/>
          </w:tcPr>
          <w:p w14:paraId="03FF437F" w14:textId="77777777" w:rsidR="00047467" w:rsidRPr="00724D83" w:rsidRDefault="00047467" w:rsidP="0098070F">
            <w:pPr>
              <w:spacing w:after="0" w:line="240" w:lineRule="auto"/>
              <w:rPr>
                <w:rFonts w:ascii="\" w:hAnsi="\"/>
                <w:color w:val="000000"/>
              </w:rPr>
            </w:pPr>
            <w:r w:rsidRPr="00724D83">
              <w:rPr>
                <w:rFonts w:ascii="\" w:hAnsi="\"/>
                <w:color w:val="000000"/>
              </w:rPr>
              <w:t>Fair value of plan assets</w:t>
            </w:r>
          </w:p>
        </w:tc>
        <w:tc>
          <w:tcPr>
            <w:tcW w:w="221" w:type="dxa"/>
            <w:tcBorders>
              <w:top w:val="nil"/>
              <w:left w:val="nil"/>
              <w:bottom w:val="nil"/>
              <w:right w:val="nil"/>
            </w:tcBorders>
            <w:noWrap/>
            <w:vAlign w:val="bottom"/>
          </w:tcPr>
          <w:p w14:paraId="03FF4380"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381" w14:textId="77777777" w:rsidR="00047467" w:rsidRPr="00724D83" w:rsidRDefault="00047467" w:rsidP="0098070F">
            <w:pPr>
              <w:spacing w:after="0" w:line="240" w:lineRule="auto"/>
              <w:rPr>
                <w:rFonts w:ascii="\" w:hAnsi="\"/>
                <w:color w:val="000000"/>
              </w:rPr>
            </w:pPr>
          </w:p>
        </w:tc>
        <w:tc>
          <w:tcPr>
            <w:tcW w:w="221" w:type="dxa"/>
            <w:tcBorders>
              <w:top w:val="nil"/>
              <w:left w:val="nil"/>
              <w:bottom w:val="nil"/>
              <w:right w:val="nil"/>
            </w:tcBorders>
            <w:noWrap/>
            <w:vAlign w:val="bottom"/>
          </w:tcPr>
          <w:p w14:paraId="03FF4382"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383" w14:textId="77777777" w:rsidR="00047467" w:rsidRPr="00724D83" w:rsidRDefault="00047467" w:rsidP="0098070F">
            <w:pPr>
              <w:spacing w:after="0" w:line="240" w:lineRule="auto"/>
              <w:rPr>
                <w:rFonts w:ascii="\" w:hAnsi="\"/>
                <w:color w:val="000000"/>
              </w:rPr>
            </w:pPr>
          </w:p>
        </w:tc>
      </w:tr>
      <w:tr w:rsidR="00047467" w:rsidRPr="00724D83" w14:paraId="03FF438A" w14:textId="77777777" w:rsidTr="0098070F">
        <w:tc>
          <w:tcPr>
            <w:tcW w:w="5330" w:type="dxa"/>
            <w:tcBorders>
              <w:top w:val="nil"/>
              <w:left w:val="nil"/>
              <w:bottom w:val="nil"/>
              <w:right w:val="nil"/>
            </w:tcBorders>
            <w:noWrap/>
            <w:vAlign w:val="bottom"/>
          </w:tcPr>
          <w:p w14:paraId="03FF4385" w14:textId="77777777" w:rsidR="00047467" w:rsidRPr="00724D83" w:rsidRDefault="00047467" w:rsidP="008563F4">
            <w:pPr>
              <w:spacing w:after="0" w:line="240" w:lineRule="auto"/>
              <w:ind w:firstLineChars="200" w:firstLine="442"/>
              <w:rPr>
                <w:rFonts w:ascii="\" w:hAnsi="\"/>
                <w:b/>
                <w:bCs/>
                <w:color w:val="000000"/>
              </w:rPr>
            </w:pPr>
            <w:r w:rsidRPr="00724D83">
              <w:rPr>
                <w:rFonts w:ascii="\" w:hAnsi="\"/>
                <w:b/>
                <w:bCs/>
                <w:color w:val="000000"/>
              </w:rPr>
              <w:t>Subtotal</w:t>
            </w:r>
          </w:p>
        </w:tc>
        <w:tc>
          <w:tcPr>
            <w:tcW w:w="221" w:type="dxa"/>
            <w:tcBorders>
              <w:top w:val="nil"/>
              <w:left w:val="nil"/>
              <w:bottom w:val="nil"/>
              <w:right w:val="nil"/>
            </w:tcBorders>
            <w:noWrap/>
            <w:vAlign w:val="bottom"/>
          </w:tcPr>
          <w:p w14:paraId="03FF4386" w14:textId="77777777" w:rsidR="00047467" w:rsidRPr="00724D83" w:rsidRDefault="00047467" w:rsidP="0098070F">
            <w:pPr>
              <w:spacing w:after="0" w:line="240" w:lineRule="auto"/>
              <w:rPr>
                <w:rFonts w:ascii="\" w:hAnsi="\"/>
                <w:color w:val="000000"/>
              </w:rPr>
            </w:pPr>
          </w:p>
        </w:tc>
        <w:tc>
          <w:tcPr>
            <w:tcW w:w="1836" w:type="dxa"/>
            <w:tcBorders>
              <w:top w:val="single" w:sz="4" w:space="0" w:color="auto"/>
              <w:left w:val="nil"/>
              <w:bottom w:val="nil"/>
              <w:right w:val="nil"/>
            </w:tcBorders>
            <w:noWrap/>
            <w:vAlign w:val="bottom"/>
          </w:tcPr>
          <w:p w14:paraId="03FF4387" w14:textId="77777777" w:rsidR="00047467" w:rsidRPr="00724D83" w:rsidRDefault="00047467" w:rsidP="0098070F">
            <w:pPr>
              <w:spacing w:after="0" w:line="240" w:lineRule="auto"/>
              <w:rPr>
                <w:rFonts w:ascii="\" w:hAnsi="\"/>
                <w:color w:val="000000"/>
              </w:rPr>
            </w:pPr>
          </w:p>
        </w:tc>
        <w:tc>
          <w:tcPr>
            <w:tcW w:w="221" w:type="dxa"/>
            <w:tcBorders>
              <w:top w:val="nil"/>
              <w:left w:val="nil"/>
              <w:bottom w:val="nil"/>
              <w:right w:val="nil"/>
            </w:tcBorders>
            <w:noWrap/>
            <w:vAlign w:val="bottom"/>
          </w:tcPr>
          <w:p w14:paraId="03FF4388" w14:textId="77777777" w:rsidR="00047467" w:rsidRPr="00724D83" w:rsidRDefault="00047467" w:rsidP="0098070F">
            <w:pPr>
              <w:spacing w:after="0" w:line="240" w:lineRule="auto"/>
              <w:rPr>
                <w:rFonts w:ascii="\" w:hAnsi="\"/>
                <w:color w:val="000000"/>
              </w:rPr>
            </w:pPr>
          </w:p>
        </w:tc>
        <w:tc>
          <w:tcPr>
            <w:tcW w:w="1752" w:type="dxa"/>
            <w:tcBorders>
              <w:top w:val="single" w:sz="4" w:space="0" w:color="auto"/>
              <w:left w:val="nil"/>
              <w:bottom w:val="nil"/>
              <w:right w:val="nil"/>
            </w:tcBorders>
            <w:noWrap/>
            <w:vAlign w:val="bottom"/>
          </w:tcPr>
          <w:p w14:paraId="03FF4389" w14:textId="77777777" w:rsidR="00047467" w:rsidRPr="00724D83" w:rsidRDefault="00047467" w:rsidP="0098070F">
            <w:pPr>
              <w:spacing w:after="0" w:line="240" w:lineRule="auto"/>
              <w:rPr>
                <w:rFonts w:ascii="\" w:hAnsi="\"/>
                <w:color w:val="000000"/>
              </w:rPr>
            </w:pPr>
          </w:p>
        </w:tc>
      </w:tr>
      <w:tr w:rsidR="00047467" w:rsidRPr="00724D83" w14:paraId="03FF4390" w14:textId="77777777" w:rsidTr="0098070F">
        <w:tc>
          <w:tcPr>
            <w:tcW w:w="5330" w:type="dxa"/>
            <w:tcBorders>
              <w:top w:val="nil"/>
              <w:left w:val="nil"/>
              <w:bottom w:val="nil"/>
              <w:right w:val="nil"/>
            </w:tcBorders>
            <w:noWrap/>
            <w:vAlign w:val="bottom"/>
          </w:tcPr>
          <w:p w14:paraId="03FF438B" w14:textId="77777777" w:rsidR="00047467" w:rsidRPr="00724D83" w:rsidRDefault="00047467" w:rsidP="0098070F">
            <w:pPr>
              <w:spacing w:after="0" w:line="240" w:lineRule="auto"/>
              <w:rPr>
                <w:rFonts w:ascii="\" w:hAnsi="\"/>
                <w:color w:val="000000"/>
              </w:rPr>
            </w:pPr>
            <w:r w:rsidRPr="00724D83">
              <w:rPr>
                <w:rFonts w:ascii="\" w:hAnsi="\"/>
                <w:color w:val="000000"/>
              </w:rPr>
              <w:t>Present value of unfunded obligations</w:t>
            </w:r>
          </w:p>
        </w:tc>
        <w:tc>
          <w:tcPr>
            <w:tcW w:w="221" w:type="dxa"/>
            <w:tcBorders>
              <w:top w:val="nil"/>
              <w:left w:val="nil"/>
              <w:bottom w:val="nil"/>
              <w:right w:val="nil"/>
            </w:tcBorders>
            <w:noWrap/>
            <w:vAlign w:val="bottom"/>
          </w:tcPr>
          <w:p w14:paraId="03FF438C"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38D" w14:textId="77777777" w:rsidR="00047467" w:rsidRPr="00724D83" w:rsidRDefault="00047467" w:rsidP="0098070F">
            <w:pPr>
              <w:spacing w:after="0" w:line="240" w:lineRule="auto"/>
              <w:rPr>
                <w:rFonts w:ascii="\" w:hAnsi="\"/>
                <w:color w:val="000000"/>
              </w:rPr>
            </w:pPr>
          </w:p>
        </w:tc>
        <w:tc>
          <w:tcPr>
            <w:tcW w:w="221" w:type="dxa"/>
            <w:tcBorders>
              <w:top w:val="nil"/>
              <w:left w:val="nil"/>
              <w:bottom w:val="nil"/>
              <w:right w:val="nil"/>
            </w:tcBorders>
            <w:noWrap/>
            <w:vAlign w:val="bottom"/>
          </w:tcPr>
          <w:p w14:paraId="03FF438E"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38F" w14:textId="77777777" w:rsidR="00047467" w:rsidRPr="00724D83" w:rsidRDefault="00047467" w:rsidP="0098070F">
            <w:pPr>
              <w:spacing w:after="0" w:line="240" w:lineRule="auto"/>
              <w:rPr>
                <w:rFonts w:ascii="\" w:hAnsi="\"/>
                <w:color w:val="000000"/>
              </w:rPr>
            </w:pPr>
          </w:p>
        </w:tc>
      </w:tr>
      <w:tr w:rsidR="00047467" w:rsidRPr="00724D83" w14:paraId="03FF4396" w14:textId="77777777" w:rsidTr="0098070F">
        <w:tc>
          <w:tcPr>
            <w:tcW w:w="5330" w:type="dxa"/>
            <w:tcBorders>
              <w:top w:val="nil"/>
              <w:left w:val="nil"/>
              <w:bottom w:val="nil"/>
              <w:right w:val="nil"/>
            </w:tcBorders>
            <w:noWrap/>
            <w:vAlign w:val="bottom"/>
          </w:tcPr>
          <w:p w14:paraId="03FF4391" w14:textId="77777777" w:rsidR="00047467" w:rsidRPr="00724D83" w:rsidRDefault="00047467" w:rsidP="0098070F">
            <w:pPr>
              <w:spacing w:after="0" w:line="240" w:lineRule="auto"/>
              <w:rPr>
                <w:rFonts w:ascii="\" w:hAnsi="\"/>
                <w:b/>
                <w:bCs/>
                <w:color w:val="000000"/>
              </w:rPr>
            </w:pPr>
            <w:r w:rsidRPr="00724D83">
              <w:rPr>
                <w:rFonts w:ascii="\" w:hAnsi="\"/>
                <w:b/>
                <w:bCs/>
                <w:color w:val="000000"/>
              </w:rPr>
              <w:t>Net liability in balance sheet</w:t>
            </w:r>
          </w:p>
        </w:tc>
        <w:tc>
          <w:tcPr>
            <w:tcW w:w="221" w:type="dxa"/>
            <w:tcBorders>
              <w:top w:val="nil"/>
              <w:left w:val="nil"/>
              <w:bottom w:val="nil"/>
              <w:right w:val="nil"/>
            </w:tcBorders>
            <w:noWrap/>
            <w:vAlign w:val="bottom"/>
          </w:tcPr>
          <w:p w14:paraId="03FF4392" w14:textId="77777777" w:rsidR="00047467" w:rsidRPr="00724D83" w:rsidRDefault="00047467" w:rsidP="0098070F">
            <w:pPr>
              <w:spacing w:after="0" w:line="240" w:lineRule="auto"/>
              <w:rPr>
                <w:rFonts w:ascii="\" w:hAnsi="\"/>
                <w:color w:val="000000"/>
              </w:rPr>
            </w:pPr>
          </w:p>
        </w:tc>
        <w:tc>
          <w:tcPr>
            <w:tcW w:w="1836" w:type="dxa"/>
            <w:tcBorders>
              <w:top w:val="single" w:sz="4" w:space="0" w:color="auto"/>
              <w:left w:val="nil"/>
              <w:bottom w:val="double" w:sz="6" w:space="0" w:color="auto"/>
              <w:right w:val="nil"/>
            </w:tcBorders>
            <w:noWrap/>
            <w:vAlign w:val="bottom"/>
          </w:tcPr>
          <w:p w14:paraId="03FF4393" w14:textId="77777777" w:rsidR="00047467" w:rsidRPr="00724D83" w:rsidRDefault="00047467" w:rsidP="0098070F">
            <w:pPr>
              <w:spacing w:after="0" w:line="240" w:lineRule="auto"/>
              <w:rPr>
                <w:rFonts w:ascii="\" w:hAnsi="\"/>
                <w:color w:val="000000"/>
              </w:rPr>
            </w:pPr>
          </w:p>
        </w:tc>
        <w:tc>
          <w:tcPr>
            <w:tcW w:w="221" w:type="dxa"/>
            <w:tcBorders>
              <w:top w:val="nil"/>
              <w:left w:val="nil"/>
              <w:bottom w:val="nil"/>
              <w:right w:val="nil"/>
            </w:tcBorders>
            <w:noWrap/>
            <w:vAlign w:val="bottom"/>
          </w:tcPr>
          <w:p w14:paraId="03FF4394" w14:textId="77777777" w:rsidR="00047467" w:rsidRPr="00724D83" w:rsidRDefault="00047467" w:rsidP="0098070F">
            <w:pPr>
              <w:spacing w:after="0" w:line="240" w:lineRule="auto"/>
              <w:rPr>
                <w:rFonts w:ascii="\" w:hAnsi="\"/>
                <w:color w:val="000000"/>
              </w:rPr>
            </w:pPr>
          </w:p>
        </w:tc>
        <w:tc>
          <w:tcPr>
            <w:tcW w:w="1752" w:type="dxa"/>
            <w:tcBorders>
              <w:top w:val="single" w:sz="4" w:space="0" w:color="auto"/>
              <w:left w:val="nil"/>
              <w:bottom w:val="double" w:sz="6" w:space="0" w:color="auto"/>
              <w:right w:val="nil"/>
            </w:tcBorders>
            <w:noWrap/>
            <w:vAlign w:val="bottom"/>
          </w:tcPr>
          <w:p w14:paraId="03FF4395" w14:textId="77777777" w:rsidR="00047467" w:rsidRPr="00724D83" w:rsidRDefault="00047467" w:rsidP="0098070F">
            <w:pPr>
              <w:spacing w:after="0" w:line="240" w:lineRule="auto"/>
              <w:rPr>
                <w:rFonts w:ascii="\" w:hAnsi="\"/>
                <w:color w:val="000000"/>
              </w:rPr>
            </w:pPr>
          </w:p>
        </w:tc>
      </w:tr>
    </w:tbl>
    <w:p w14:paraId="03FF4397" w14:textId="77777777" w:rsidR="00047467" w:rsidRPr="00724D83" w:rsidRDefault="00047467" w:rsidP="00D55BB2">
      <w:pPr>
        <w:pStyle w:val="Text1"/>
        <w:spacing w:after="120"/>
      </w:pPr>
    </w:p>
    <w:tbl>
      <w:tblPr>
        <w:tblW w:w="5000" w:type="pct"/>
        <w:tblLook w:val="00A0" w:firstRow="1" w:lastRow="0" w:firstColumn="1" w:lastColumn="0" w:noHBand="0" w:noVBand="0"/>
      </w:tblPr>
      <w:tblGrid>
        <w:gridCol w:w="5328"/>
        <w:gridCol w:w="222"/>
        <w:gridCol w:w="1836"/>
        <w:gridCol w:w="222"/>
        <w:gridCol w:w="1752"/>
      </w:tblGrid>
      <w:tr w:rsidR="00047467" w:rsidRPr="00724D83" w14:paraId="03FF439D" w14:textId="77777777" w:rsidTr="0098070F">
        <w:tc>
          <w:tcPr>
            <w:tcW w:w="5328" w:type="dxa"/>
            <w:tcBorders>
              <w:top w:val="nil"/>
              <w:left w:val="nil"/>
              <w:bottom w:val="nil"/>
              <w:right w:val="nil"/>
            </w:tcBorders>
            <w:noWrap/>
            <w:vAlign w:val="bottom"/>
          </w:tcPr>
          <w:p w14:paraId="03FF4398" w14:textId="77777777" w:rsidR="00047467" w:rsidRPr="00724D83" w:rsidRDefault="00047467" w:rsidP="0098070F">
            <w:pPr>
              <w:spacing w:after="0" w:line="240" w:lineRule="auto"/>
              <w:rPr>
                <w:rFonts w:ascii="\" w:hAnsi="\"/>
                <w:b/>
                <w:bCs/>
                <w:color w:val="000000"/>
              </w:rPr>
            </w:pPr>
            <w:r w:rsidRPr="00724D83">
              <w:rPr>
                <w:rFonts w:ascii="\" w:hAnsi="\"/>
                <w:b/>
                <w:bCs/>
                <w:color w:val="000000"/>
              </w:rPr>
              <w:t>Amounts recognized in income statement</w:t>
            </w:r>
          </w:p>
        </w:tc>
        <w:tc>
          <w:tcPr>
            <w:tcW w:w="222" w:type="dxa"/>
            <w:tcBorders>
              <w:top w:val="nil"/>
              <w:left w:val="nil"/>
              <w:bottom w:val="nil"/>
              <w:right w:val="nil"/>
            </w:tcBorders>
            <w:noWrap/>
            <w:vAlign w:val="bottom"/>
          </w:tcPr>
          <w:p w14:paraId="03FF4399" w14:textId="77777777" w:rsidR="00047467" w:rsidRPr="00724D83" w:rsidRDefault="00047467" w:rsidP="0098070F">
            <w:pPr>
              <w:spacing w:after="0" w:line="240" w:lineRule="auto"/>
              <w:rPr>
                <w:rFonts w:ascii="\" w:hAnsi="\"/>
                <w:color w:val="000000"/>
              </w:rPr>
            </w:pPr>
          </w:p>
        </w:tc>
        <w:tc>
          <w:tcPr>
            <w:tcW w:w="1836" w:type="dxa"/>
            <w:tcBorders>
              <w:top w:val="single" w:sz="4" w:space="0" w:color="auto"/>
              <w:left w:val="nil"/>
              <w:bottom w:val="single" w:sz="4" w:space="0" w:color="auto"/>
              <w:right w:val="nil"/>
            </w:tcBorders>
            <w:vAlign w:val="bottom"/>
          </w:tcPr>
          <w:p w14:paraId="03FF439A" w14:textId="77777777" w:rsidR="00047467" w:rsidRPr="00724D83" w:rsidRDefault="00047467" w:rsidP="0098070F">
            <w:pPr>
              <w:spacing w:after="0" w:line="240" w:lineRule="auto"/>
              <w:jc w:val="center"/>
              <w:rPr>
                <w:rFonts w:ascii="\" w:hAnsi="\"/>
                <w:b/>
                <w:bCs/>
                <w:color w:val="000000"/>
              </w:rPr>
            </w:pPr>
            <w:r w:rsidRPr="00724D83">
              <w:rPr>
                <w:rFonts w:ascii="\" w:hAnsi="\"/>
                <w:b/>
                <w:bCs/>
                <w:color w:val="000000"/>
              </w:rPr>
              <w:t>12 months ended</w:t>
            </w:r>
            <w:r w:rsidRPr="00724D83">
              <w:rPr>
                <w:rFonts w:ascii="\" w:hAnsi="\"/>
                <w:b/>
                <w:bCs/>
                <w:color w:val="000000"/>
              </w:rPr>
              <w:br/>
              <w:t>December 31, 20X1</w:t>
            </w:r>
          </w:p>
        </w:tc>
        <w:tc>
          <w:tcPr>
            <w:tcW w:w="222" w:type="dxa"/>
            <w:tcBorders>
              <w:top w:val="nil"/>
              <w:left w:val="nil"/>
              <w:bottom w:val="nil"/>
              <w:right w:val="nil"/>
            </w:tcBorders>
            <w:noWrap/>
            <w:vAlign w:val="bottom"/>
          </w:tcPr>
          <w:p w14:paraId="03FF439B" w14:textId="77777777" w:rsidR="00047467" w:rsidRPr="00724D83" w:rsidRDefault="00047467" w:rsidP="0098070F">
            <w:pPr>
              <w:spacing w:after="0" w:line="240" w:lineRule="auto"/>
              <w:rPr>
                <w:rFonts w:ascii="\" w:hAnsi="\"/>
                <w:color w:val="000000"/>
              </w:rPr>
            </w:pPr>
          </w:p>
        </w:tc>
        <w:tc>
          <w:tcPr>
            <w:tcW w:w="1752" w:type="dxa"/>
            <w:tcBorders>
              <w:top w:val="single" w:sz="4" w:space="0" w:color="auto"/>
              <w:left w:val="nil"/>
              <w:bottom w:val="single" w:sz="4" w:space="0" w:color="auto"/>
              <w:right w:val="nil"/>
            </w:tcBorders>
            <w:vAlign w:val="bottom"/>
          </w:tcPr>
          <w:p w14:paraId="03FF439C" w14:textId="77777777" w:rsidR="00047467" w:rsidRPr="00724D83" w:rsidRDefault="00047467" w:rsidP="0098070F">
            <w:pPr>
              <w:spacing w:after="0" w:line="240" w:lineRule="auto"/>
              <w:jc w:val="center"/>
              <w:rPr>
                <w:rFonts w:ascii="\" w:hAnsi="\"/>
                <w:b/>
                <w:bCs/>
                <w:color w:val="000000"/>
              </w:rPr>
            </w:pPr>
            <w:r w:rsidRPr="00724D83">
              <w:rPr>
                <w:rFonts w:ascii="\" w:hAnsi="\"/>
                <w:b/>
                <w:bCs/>
                <w:color w:val="000000"/>
              </w:rPr>
              <w:t>12 months ended</w:t>
            </w:r>
            <w:r w:rsidRPr="00724D83">
              <w:rPr>
                <w:rFonts w:ascii="\" w:hAnsi="\"/>
                <w:b/>
                <w:bCs/>
                <w:color w:val="000000"/>
              </w:rPr>
              <w:br/>
              <w:t>December 31, 20XX</w:t>
            </w:r>
          </w:p>
        </w:tc>
      </w:tr>
      <w:tr w:rsidR="00047467" w:rsidRPr="00724D83" w14:paraId="03FF43A3" w14:textId="77777777" w:rsidTr="0098070F">
        <w:tc>
          <w:tcPr>
            <w:tcW w:w="5328" w:type="dxa"/>
            <w:tcBorders>
              <w:top w:val="nil"/>
              <w:left w:val="nil"/>
              <w:bottom w:val="nil"/>
              <w:right w:val="nil"/>
            </w:tcBorders>
            <w:noWrap/>
            <w:vAlign w:val="bottom"/>
          </w:tcPr>
          <w:p w14:paraId="03FF439E" w14:textId="77777777" w:rsidR="00047467" w:rsidRPr="00724D83" w:rsidRDefault="00047467" w:rsidP="0098070F">
            <w:pPr>
              <w:spacing w:after="0" w:line="240" w:lineRule="auto"/>
              <w:rPr>
                <w:rFonts w:ascii="\" w:hAnsi="\"/>
                <w:color w:val="000000"/>
              </w:rPr>
            </w:pPr>
            <w:r w:rsidRPr="00724D83">
              <w:rPr>
                <w:rFonts w:ascii="\" w:hAnsi="\"/>
                <w:color w:val="000000"/>
              </w:rPr>
              <w:t>Current service cost</w:t>
            </w:r>
          </w:p>
        </w:tc>
        <w:tc>
          <w:tcPr>
            <w:tcW w:w="222" w:type="dxa"/>
            <w:tcBorders>
              <w:top w:val="nil"/>
              <w:left w:val="nil"/>
              <w:bottom w:val="nil"/>
              <w:right w:val="nil"/>
            </w:tcBorders>
            <w:noWrap/>
            <w:vAlign w:val="bottom"/>
          </w:tcPr>
          <w:p w14:paraId="03FF439F"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3A0"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3A1"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3A2" w14:textId="77777777" w:rsidR="00047467" w:rsidRPr="00724D83" w:rsidRDefault="00047467" w:rsidP="0098070F">
            <w:pPr>
              <w:spacing w:after="0" w:line="240" w:lineRule="auto"/>
              <w:rPr>
                <w:rFonts w:ascii="\" w:hAnsi="\"/>
                <w:color w:val="000000"/>
              </w:rPr>
            </w:pPr>
          </w:p>
        </w:tc>
      </w:tr>
      <w:tr w:rsidR="00047467" w:rsidRPr="00724D83" w14:paraId="03FF43A9" w14:textId="77777777" w:rsidTr="0098070F">
        <w:tc>
          <w:tcPr>
            <w:tcW w:w="5328" w:type="dxa"/>
            <w:tcBorders>
              <w:top w:val="nil"/>
              <w:left w:val="nil"/>
              <w:bottom w:val="nil"/>
              <w:right w:val="nil"/>
            </w:tcBorders>
            <w:noWrap/>
            <w:vAlign w:val="bottom"/>
          </w:tcPr>
          <w:p w14:paraId="03FF43A4" w14:textId="2F141C5A" w:rsidR="00047467" w:rsidRPr="00724D83" w:rsidRDefault="00047467" w:rsidP="0098070F">
            <w:pPr>
              <w:spacing w:after="0" w:line="240" w:lineRule="auto"/>
              <w:rPr>
                <w:rFonts w:ascii="\" w:hAnsi="\"/>
                <w:color w:val="000000"/>
              </w:rPr>
            </w:pPr>
            <w:r w:rsidRPr="00724D83">
              <w:rPr>
                <w:rFonts w:ascii="\" w:hAnsi="\"/>
                <w:color w:val="000000"/>
              </w:rPr>
              <w:t xml:space="preserve">Interest </w:t>
            </w:r>
            <w:r w:rsidR="0050105D">
              <w:rPr>
                <w:rFonts w:ascii="\" w:hAnsi="\"/>
                <w:color w:val="000000"/>
              </w:rPr>
              <w:t>cost</w:t>
            </w:r>
          </w:p>
        </w:tc>
        <w:tc>
          <w:tcPr>
            <w:tcW w:w="222" w:type="dxa"/>
            <w:tcBorders>
              <w:top w:val="nil"/>
              <w:left w:val="nil"/>
              <w:bottom w:val="nil"/>
              <w:right w:val="nil"/>
            </w:tcBorders>
            <w:noWrap/>
            <w:vAlign w:val="bottom"/>
          </w:tcPr>
          <w:p w14:paraId="03FF43A5"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3A6"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3A7"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3A8" w14:textId="77777777" w:rsidR="00047467" w:rsidRPr="00724D83" w:rsidRDefault="00047467" w:rsidP="0098070F">
            <w:pPr>
              <w:spacing w:after="0" w:line="240" w:lineRule="auto"/>
              <w:rPr>
                <w:rFonts w:ascii="\" w:hAnsi="\"/>
                <w:color w:val="000000"/>
              </w:rPr>
            </w:pPr>
          </w:p>
        </w:tc>
      </w:tr>
      <w:tr w:rsidR="00047467" w:rsidRPr="00724D83" w14:paraId="03FF43AF" w14:textId="77777777" w:rsidTr="0098070F">
        <w:tc>
          <w:tcPr>
            <w:tcW w:w="5328" w:type="dxa"/>
            <w:tcBorders>
              <w:top w:val="nil"/>
              <w:left w:val="nil"/>
              <w:bottom w:val="nil"/>
              <w:right w:val="nil"/>
            </w:tcBorders>
            <w:noWrap/>
            <w:vAlign w:val="bottom"/>
          </w:tcPr>
          <w:p w14:paraId="03FF43AA" w14:textId="31908695"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3AB"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3AC"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3AD"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3AE" w14:textId="77777777" w:rsidR="00047467" w:rsidRPr="00724D83" w:rsidRDefault="00047467" w:rsidP="0098070F">
            <w:pPr>
              <w:spacing w:after="0" w:line="240" w:lineRule="auto"/>
              <w:rPr>
                <w:rFonts w:ascii="\" w:hAnsi="\"/>
                <w:color w:val="000000"/>
              </w:rPr>
            </w:pPr>
          </w:p>
        </w:tc>
      </w:tr>
      <w:tr w:rsidR="00047467" w:rsidRPr="00724D83" w14:paraId="03FF43B5" w14:textId="77777777" w:rsidTr="0098070F">
        <w:tc>
          <w:tcPr>
            <w:tcW w:w="5328" w:type="dxa"/>
            <w:tcBorders>
              <w:top w:val="nil"/>
              <w:left w:val="nil"/>
              <w:bottom w:val="nil"/>
              <w:right w:val="nil"/>
            </w:tcBorders>
            <w:noWrap/>
            <w:vAlign w:val="bottom"/>
          </w:tcPr>
          <w:p w14:paraId="03FF43B0" w14:textId="77777777" w:rsidR="00047467" w:rsidRPr="00724D83" w:rsidRDefault="00047467" w:rsidP="0098070F">
            <w:pPr>
              <w:spacing w:after="0" w:line="240" w:lineRule="auto"/>
              <w:rPr>
                <w:rFonts w:ascii="\" w:hAnsi="\"/>
                <w:b/>
                <w:bCs/>
                <w:color w:val="000000"/>
              </w:rPr>
            </w:pPr>
            <w:r w:rsidRPr="00724D83">
              <w:rPr>
                <w:rFonts w:ascii="\" w:hAnsi="\"/>
                <w:b/>
                <w:bCs/>
                <w:color w:val="000000"/>
              </w:rPr>
              <w:t>Net periodic pension cost</w:t>
            </w:r>
          </w:p>
        </w:tc>
        <w:tc>
          <w:tcPr>
            <w:tcW w:w="222" w:type="dxa"/>
            <w:tcBorders>
              <w:top w:val="nil"/>
              <w:left w:val="nil"/>
              <w:bottom w:val="nil"/>
              <w:right w:val="nil"/>
            </w:tcBorders>
            <w:noWrap/>
            <w:vAlign w:val="bottom"/>
          </w:tcPr>
          <w:p w14:paraId="03FF43B1" w14:textId="77777777" w:rsidR="00047467" w:rsidRPr="00724D83" w:rsidRDefault="00047467" w:rsidP="0098070F">
            <w:pPr>
              <w:spacing w:after="0" w:line="240" w:lineRule="auto"/>
              <w:rPr>
                <w:rFonts w:ascii="\" w:hAnsi="\"/>
                <w:color w:val="000000"/>
              </w:rPr>
            </w:pPr>
          </w:p>
        </w:tc>
        <w:tc>
          <w:tcPr>
            <w:tcW w:w="1836" w:type="dxa"/>
            <w:tcBorders>
              <w:top w:val="single" w:sz="4" w:space="0" w:color="auto"/>
              <w:left w:val="nil"/>
              <w:bottom w:val="double" w:sz="6" w:space="0" w:color="auto"/>
              <w:right w:val="nil"/>
            </w:tcBorders>
            <w:noWrap/>
            <w:vAlign w:val="bottom"/>
          </w:tcPr>
          <w:p w14:paraId="03FF43B2"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3B3" w14:textId="77777777" w:rsidR="00047467" w:rsidRPr="00724D83" w:rsidRDefault="00047467" w:rsidP="0098070F">
            <w:pPr>
              <w:spacing w:after="0" w:line="240" w:lineRule="auto"/>
              <w:rPr>
                <w:rFonts w:ascii="\" w:hAnsi="\"/>
                <w:color w:val="000000"/>
              </w:rPr>
            </w:pPr>
          </w:p>
        </w:tc>
        <w:tc>
          <w:tcPr>
            <w:tcW w:w="1752" w:type="dxa"/>
            <w:tcBorders>
              <w:top w:val="single" w:sz="4" w:space="0" w:color="auto"/>
              <w:left w:val="nil"/>
              <w:bottom w:val="double" w:sz="6" w:space="0" w:color="auto"/>
              <w:right w:val="nil"/>
            </w:tcBorders>
            <w:noWrap/>
            <w:vAlign w:val="bottom"/>
          </w:tcPr>
          <w:p w14:paraId="03FF43B4" w14:textId="77777777" w:rsidR="00047467" w:rsidRPr="00724D83" w:rsidRDefault="00047467" w:rsidP="0098070F">
            <w:pPr>
              <w:spacing w:after="0" w:line="240" w:lineRule="auto"/>
              <w:rPr>
                <w:rFonts w:ascii="\" w:hAnsi="\"/>
                <w:color w:val="000000"/>
              </w:rPr>
            </w:pPr>
          </w:p>
        </w:tc>
      </w:tr>
    </w:tbl>
    <w:p w14:paraId="03FF43B7" w14:textId="77777777" w:rsidR="00047467" w:rsidRPr="00724D83" w:rsidRDefault="00047467" w:rsidP="00D55BB2">
      <w:pPr>
        <w:pStyle w:val="Text1"/>
        <w:spacing w:after="120"/>
      </w:pPr>
    </w:p>
    <w:tbl>
      <w:tblPr>
        <w:tblW w:w="5000" w:type="pct"/>
        <w:tblLook w:val="00A0" w:firstRow="1" w:lastRow="0" w:firstColumn="1" w:lastColumn="0" w:noHBand="0" w:noVBand="0"/>
      </w:tblPr>
      <w:tblGrid>
        <w:gridCol w:w="5328"/>
        <w:gridCol w:w="222"/>
        <w:gridCol w:w="1836"/>
        <w:gridCol w:w="222"/>
        <w:gridCol w:w="1752"/>
      </w:tblGrid>
      <w:tr w:rsidR="00047467" w:rsidRPr="00724D83" w14:paraId="03FF43BF" w14:textId="77777777" w:rsidTr="0098070F">
        <w:tc>
          <w:tcPr>
            <w:tcW w:w="5328" w:type="dxa"/>
            <w:tcBorders>
              <w:top w:val="nil"/>
              <w:left w:val="nil"/>
              <w:bottom w:val="nil"/>
              <w:right w:val="nil"/>
            </w:tcBorders>
            <w:noWrap/>
            <w:vAlign w:val="bottom"/>
          </w:tcPr>
          <w:p w14:paraId="03FF43B8" w14:textId="77777777" w:rsidR="00047467" w:rsidRDefault="00047467" w:rsidP="0098070F">
            <w:pPr>
              <w:spacing w:after="0" w:line="240" w:lineRule="auto"/>
              <w:rPr>
                <w:rFonts w:ascii="\" w:hAnsi="\"/>
                <w:b/>
                <w:bCs/>
                <w:color w:val="000000"/>
              </w:rPr>
            </w:pPr>
          </w:p>
          <w:p w14:paraId="03FF43B9" w14:textId="77777777" w:rsidR="00047467" w:rsidRDefault="00047467" w:rsidP="0098070F">
            <w:pPr>
              <w:spacing w:after="0" w:line="240" w:lineRule="auto"/>
              <w:rPr>
                <w:rFonts w:ascii="\" w:hAnsi="\"/>
                <w:b/>
                <w:bCs/>
                <w:color w:val="000000"/>
              </w:rPr>
            </w:pPr>
          </w:p>
          <w:p w14:paraId="03FF43BA" w14:textId="77777777" w:rsidR="00047467" w:rsidRPr="00724D83" w:rsidRDefault="00047467" w:rsidP="0098070F">
            <w:pPr>
              <w:spacing w:after="0" w:line="240" w:lineRule="auto"/>
              <w:rPr>
                <w:rFonts w:ascii="\" w:hAnsi="\"/>
                <w:b/>
                <w:bCs/>
                <w:color w:val="000000"/>
              </w:rPr>
            </w:pPr>
            <w:r>
              <w:rPr>
                <w:rFonts w:ascii="\" w:hAnsi="\"/>
                <w:b/>
                <w:bCs/>
                <w:color w:val="000000"/>
              </w:rPr>
              <w:t>Expense recognized in the following line items in the income statement</w:t>
            </w:r>
          </w:p>
        </w:tc>
        <w:tc>
          <w:tcPr>
            <w:tcW w:w="222" w:type="dxa"/>
            <w:tcBorders>
              <w:top w:val="nil"/>
              <w:left w:val="nil"/>
              <w:bottom w:val="nil"/>
              <w:right w:val="nil"/>
            </w:tcBorders>
            <w:noWrap/>
            <w:vAlign w:val="bottom"/>
          </w:tcPr>
          <w:p w14:paraId="03FF43BB" w14:textId="77777777" w:rsidR="00047467" w:rsidRPr="00724D83" w:rsidRDefault="00047467" w:rsidP="0098070F">
            <w:pPr>
              <w:spacing w:after="0" w:line="240" w:lineRule="auto"/>
              <w:rPr>
                <w:rFonts w:ascii="\" w:hAnsi="\"/>
                <w:color w:val="000000"/>
              </w:rPr>
            </w:pPr>
          </w:p>
        </w:tc>
        <w:tc>
          <w:tcPr>
            <w:tcW w:w="1836" w:type="dxa"/>
            <w:tcBorders>
              <w:top w:val="single" w:sz="4" w:space="0" w:color="auto"/>
              <w:left w:val="nil"/>
              <w:bottom w:val="single" w:sz="4" w:space="0" w:color="auto"/>
              <w:right w:val="nil"/>
            </w:tcBorders>
            <w:vAlign w:val="bottom"/>
          </w:tcPr>
          <w:p w14:paraId="03FF43BC" w14:textId="77777777" w:rsidR="00047467" w:rsidRPr="00724D83" w:rsidRDefault="00047467" w:rsidP="0098070F">
            <w:pPr>
              <w:spacing w:after="0" w:line="240" w:lineRule="auto"/>
              <w:jc w:val="center"/>
              <w:rPr>
                <w:rFonts w:ascii="\" w:hAnsi="\"/>
                <w:b/>
                <w:bCs/>
                <w:color w:val="000000"/>
              </w:rPr>
            </w:pPr>
            <w:r w:rsidRPr="00724D83">
              <w:rPr>
                <w:rFonts w:ascii="\" w:hAnsi="\"/>
                <w:b/>
                <w:bCs/>
                <w:color w:val="000000"/>
              </w:rPr>
              <w:t>12 months ended</w:t>
            </w:r>
            <w:r w:rsidRPr="00724D83">
              <w:rPr>
                <w:rFonts w:ascii="\" w:hAnsi="\"/>
                <w:b/>
                <w:bCs/>
                <w:color w:val="000000"/>
              </w:rPr>
              <w:br/>
              <w:t>December 31, 20X1</w:t>
            </w:r>
          </w:p>
        </w:tc>
        <w:tc>
          <w:tcPr>
            <w:tcW w:w="222" w:type="dxa"/>
            <w:tcBorders>
              <w:top w:val="nil"/>
              <w:left w:val="nil"/>
              <w:bottom w:val="nil"/>
              <w:right w:val="nil"/>
            </w:tcBorders>
            <w:noWrap/>
            <w:vAlign w:val="bottom"/>
          </w:tcPr>
          <w:p w14:paraId="03FF43BD" w14:textId="77777777" w:rsidR="00047467" w:rsidRPr="00724D83" w:rsidRDefault="00047467" w:rsidP="0098070F">
            <w:pPr>
              <w:spacing w:after="0" w:line="240" w:lineRule="auto"/>
              <w:rPr>
                <w:rFonts w:ascii="\" w:hAnsi="\"/>
                <w:color w:val="000000"/>
              </w:rPr>
            </w:pPr>
          </w:p>
        </w:tc>
        <w:tc>
          <w:tcPr>
            <w:tcW w:w="1752" w:type="dxa"/>
            <w:tcBorders>
              <w:top w:val="single" w:sz="4" w:space="0" w:color="auto"/>
              <w:left w:val="nil"/>
              <w:bottom w:val="single" w:sz="4" w:space="0" w:color="auto"/>
              <w:right w:val="nil"/>
            </w:tcBorders>
            <w:vAlign w:val="bottom"/>
          </w:tcPr>
          <w:p w14:paraId="03FF43BE" w14:textId="77777777" w:rsidR="00047467" w:rsidRPr="00724D83" w:rsidRDefault="00047467" w:rsidP="0098070F">
            <w:pPr>
              <w:spacing w:after="0" w:line="240" w:lineRule="auto"/>
              <w:jc w:val="center"/>
              <w:rPr>
                <w:rFonts w:ascii="\" w:hAnsi="\"/>
                <w:b/>
                <w:bCs/>
                <w:color w:val="000000"/>
              </w:rPr>
            </w:pPr>
            <w:r w:rsidRPr="00724D83">
              <w:rPr>
                <w:rFonts w:ascii="\" w:hAnsi="\"/>
                <w:b/>
                <w:bCs/>
                <w:color w:val="000000"/>
              </w:rPr>
              <w:t>12 months ended</w:t>
            </w:r>
            <w:r w:rsidRPr="00724D83">
              <w:rPr>
                <w:rFonts w:ascii="\" w:hAnsi="\"/>
                <w:b/>
                <w:bCs/>
                <w:color w:val="000000"/>
              </w:rPr>
              <w:br/>
              <w:t>December 31, 20XX</w:t>
            </w:r>
          </w:p>
        </w:tc>
      </w:tr>
      <w:tr w:rsidR="00047467" w:rsidRPr="00724D83" w14:paraId="03FF43C5" w14:textId="77777777" w:rsidTr="0098070F">
        <w:tc>
          <w:tcPr>
            <w:tcW w:w="5328" w:type="dxa"/>
            <w:tcBorders>
              <w:top w:val="nil"/>
              <w:left w:val="nil"/>
              <w:bottom w:val="nil"/>
              <w:right w:val="nil"/>
            </w:tcBorders>
            <w:noWrap/>
            <w:vAlign w:val="bottom"/>
          </w:tcPr>
          <w:p w14:paraId="03FF43C0" w14:textId="77777777" w:rsidR="00047467" w:rsidRPr="00724D83" w:rsidRDefault="00047467" w:rsidP="0098070F">
            <w:pPr>
              <w:spacing w:after="0" w:line="240" w:lineRule="auto"/>
              <w:rPr>
                <w:rFonts w:ascii="\" w:hAnsi="\"/>
                <w:color w:val="000000"/>
              </w:rPr>
            </w:pPr>
            <w:r>
              <w:rPr>
                <w:rFonts w:ascii="\" w:hAnsi="\"/>
                <w:color w:val="000000"/>
              </w:rPr>
              <w:t>Admin Expense</w:t>
            </w:r>
          </w:p>
        </w:tc>
        <w:tc>
          <w:tcPr>
            <w:tcW w:w="222" w:type="dxa"/>
            <w:tcBorders>
              <w:top w:val="nil"/>
              <w:left w:val="nil"/>
              <w:bottom w:val="nil"/>
              <w:right w:val="nil"/>
            </w:tcBorders>
            <w:noWrap/>
            <w:vAlign w:val="bottom"/>
          </w:tcPr>
          <w:p w14:paraId="03FF43C1"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vAlign w:val="bottom"/>
          </w:tcPr>
          <w:p w14:paraId="03FF43C2" w14:textId="77777777" w:rsidR="00047467" w:rsidRPr="00724D83" w:rsidRDefault="00047467" w:rsidP="0098070F">
            <w:pPr>
              <w:spacing w:after="0" w:line="240" w:lineRule="auto"/>
              <w:jc w:val="center"/>
              <w:rPr>
                <w:rFonts w:ascii="\" w:hAnsi="\"/>
                <w:b/>
                <w:bCs/>
                <w:color w:val="000000"/>
              </w:rPr>
            </w:pPr>
          </w:p>
        </w:tc>
        <w:tc>
          <w:tcPr>
            <w:tcW w:w="222" w:type="dxa"/>
            <w:tcBorders>
              <w:top w:val="nil"/>
              <w:left w:val="nil"/>
              <w:bottom w:val="nil"/>
              <w:right w:val="nil"/>
            </w:tcBorders>
            <w:noWrap/>
            <w:vAlign w:val="bottom"/>
          </w:tcPr>
          <w:p w14:paraId="03FF43C3"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vAlign w:val="bottom"/>
          </w:tcPr>
          <w:p w14:paraId="03FF43C4" w14:textId="77777777" w:rsidR="00047467" w:rsidRPr="00724D83" w:rsidRDefault="00047467" w:rsidP="0098070F">
            <w:pPr>
              <w:spacing w:after="0" w:line="240" w:lineRule="auto"/>
              <w:jc w:val="center"/>
              <w:rPr>
                <w:rFonts w:ascii="\" w:hAnsi="\"/>
                <w:b/>
                <w:bCs/>
                <w:color w:val="000000"/>
              </w:rPr>
            </w:pPr>
          </w:p>
        </w:tc>
      </w:tr>
      <w:tr w:rsidR="00047467" w:rsidRPr="00724D83" w14:paraId="03FF43CB" w14:textId="77777777" w:rsidTr="0098070F">
        <w:tc>
          <w:tcPr>
            <w:tcW w:w="5328" w:type="dxa"/>
            <w:tcBorders>
              <w:top w:val="nil"/>
              <w:left w:val="nil"/>
              <w:bottom w:val="nil"/>
              <w:right w:val="nil"/>
            </w:tcBorders>
            <w:noWrap/>
            <w:vAlign w:val="bottom"/>
          </w:tcPr>
          <w:p w14:paraId="03FF43C6" w14:textId="77777777" w:rsidR="00047467" w:rsidRPr="00724D83" w:rsidRDefault="00047467" w:rsidP="0098070F">
            <w:pPr>
              <w:spacing w:after="0" w:line="240" w:lineRule="auto"/>
              <w:rPr>
                <w:rFonts w:ascii="\" w:hAnsi="\"/>
                <w:b/>
                <w:bCs/>
                <w:color w:val="000000"/>
              </w:rPr>
            </w:pPr>
            <w:r w:rsidRPr="00724D83">
              <w:rPr>
                <w:rFonts w:ascii="\" w:hAnsi="\"/>
                <w:b/>
                <w:bCs/>
                <w:color w:val="000000"/>
              </w:rPr>
              <w:t>Total</w:t>
            </w:r>
          </w:p>
        </w:tc>
        <w:tc>
          <w:tcPr>
            <w:tcW w:w="222" w:type="dxa"/>
            <w:tcBorders>
              <w:top w:val="nil"/>
              <w:left w:val="nil"/>
              <w:bottom w:val="nil"/>
              <w:right w:val="nil"/>
            </w:tcBorders>
            <w:noWrap/>
            <w:vAlign w:val="bottom"/>
          </w:tcPr>
          <w:p w14:paraId="03FF43C7" w14:textId="77777777" w:rsidR="00047467" w:rsidRPr="00724D83" w:rsidRDefault="00047467" w:rsidP="0098070F">
            <w:pPr>
              <w:spacing w:after="0" w:line="240" w:lineRule="auto"/>
              <w:rPr>
                <w:rFonts w:ascii="\" w:hAnsi="\"/>
                <w:color w:val="000000"/>
              </w:rPr>
            </w:pPr>
          </w:p>
        </w:tc>
        <w:tc>
          <w:tcPr>
            <w:tcW w:w="1836" w:type="dxa"/>
            <w:tcBorders>
              <w:top w:val="single" w:sz="4" w:space="0" w:color="auto"/>
              <w:left w:val="nil"/>
              <w:bottom w:val="double" w:sz="6" w:space="0" w:color="auto"/>
              <w:right w:val="nil"/>
            </w:tcBorders>
            <w:noWrap/>
            <w:vAlign w:val="bottom"/>
          </w:tcPr>
          <w:p w14:paraId="03FF43C8" w14:textId="77777777" w:rsidR="00047467" w:rsidRPr="00724D83" w:rsidRDefault="00047467" w:rsidP="0098070F">
            <w:pPr>
              <w:spacing w:after="0" w:line="240" w:lineRule="auto"/>
              <w:rPr>
                <w:rFonts w:ascii="\" w:hAnsi="\"/>
                <w:color w:val="000000"/>
              </w:rPr>
            </w:pPr>
            <w:r w:rsidRPr="00724D83">
              <w:rPr>
                <w:rFonts w:ascii="\" w:hAnsi="\"/>
                <w:color w:val="000000"/>
              </w:rPr>
              <w:t> </w:t>
            </w:r>
          </w:p>
        </w:tc>
        <w:tc>
          <w:tcPr>
            <w:tcW w:w="222" w:type="dxa"/>
            <w:tcBorders>
              <w:top w:val="nil"/>
              <w:left w:val="nil"/>
              <w:bottom w:val="nil"/>
              <w:right w:val="nil"/>
            </w:tcBorders>
            <w:noWrap/>
            <w:vAlign w:val="bottom"/>
          </w:tcPr>
          <w:p w14:paraId="03FF43C9" w14:textId="77777777" w:rsidR="00047467" w:rsidRPr="00724D83" w:rsidRDefault="00047467" w:rsidP="0098070F">
            <w:pPr>
              <w:spacing w:after="0" w:line="240" w:lineRule="auto"/>
              <w:rPr>
                <w:rFonts w:ascii="\" w:hAnsi="\"/>
                <w:color w:val="000000"/>
              </w:rPr>
            </w:pPr>
          </w:p>
        </w:tc>
        <w:tc>
          <w:tcPr>
            <w:tcW w:w="1752" w:type="dxa"/>
            <w:tcBorders>
              <w:top w:val="single" w:sz="4" w:space="0" w:color="auto"/>
              <w:left w:val="nil"/>
              <w:bottom w:val="double" w:sz="6" w:space="0" w:color="auto"/>
              <w:right w:val="nil"/>
            </w:tcBorders>
            <w:noWrap/>
            <w:vAlign w:val="bottom"/>
          </w:tcPr>
          <w:p w14:paraId="03FF43CA" w14:textId="77777777" w:rsidR="00047467" w:rsidRPr="00724D83" w:rsidRDefault="00047467" w:rsidP="0098070F">
            <w:pPr>
              <w:spacing w:after="0" w:line="240" w:lineRule="auto"/>
              <w:rPr>
                <w:rFonts w:ascii="\" w:hAnsi="\"/>
                <w:color w:val="000000"/>
              </w:rPr>
            </w:pPr>
            <w:r w:rsidRPr="00724D83">
              <w:rPr>
                <w:rFonts w:ascii="\" w:hAnsi="\"/>
                <w:color w:val="000000"/>
              </w:rPr>
              <w:t> </w:t>
            </w:r>
          </w:p>
        </w:tc>
      </w:tr>
    </w:tbl>
    <w:p w14:paraId="03FF43CC" w14:textId="77777777" w:rsidR="00047467" w:rsidRPr="00724D83" w:rsidRDefault="00047467" w:rsidP="00D55BB2">
      <w:pPr>
        <w:pStyle w:val="Text1"/>
        <w:spacing w:after="120"/>
      </w:pPr>
    </w:p>
    <w:tbl>
      <w:tblPr>
        <w:tblW w:w="5000" w:type="pct"/>
        <w:tblLook w:val="00A0" w:firstRow="1" w:lastRow="0" w:firstColumn="1" w:lastColumn="0" w:noHBand="0" w:noVBand="0"/>
      </w:tblPr>
      <w:tblGrid>
        <w:gridCol w:w="5328"/>
        <w:gridCol w:w="222"/>
        <w:gridCol w:w="1836"/>
        <w:gridCol w:w="222"/>
        <w:gridCol w:w="1752"/>
      </w:tblGrid>
      <w:tr w:rsidR="00047467" w:rsidRPr="00724D83" w14:paraId="03FF43D2" w14:textId="77777777" w:rsidTr="0098070F">
        <w:tc>
          <w:tcPr>
            <w:tcW w:w="5328" w:type="dxa"/>
            <w:tcBorders>
              <w:top w:val="nil"/>
              <w:left w:val="nil"/>
              <w:bottom w:val="nil"/>
              <w:right w:val="nil"/>
            </w:tcBorders>
            <w:noWrap/>
            <w:vAlign w:val="bottom"/>
          </w:tcPr>
          <w:p w14:paraId="03FF43CD" w14:textId="77777777" w:rsidR="00047467" w:rsidRPr="00724D83" w:rsidRDefault="00047467" w:rsidP="0098070F">
            <w:pPr>
              <w:spacing w:after="0" w:line="240" w:lineRule="auto"/>
              <w:rPr>
                <w:rFonts w:ascii="\" w:hAnsi="\"/>
                <w:b/>
                <w:bCs/>
                <w:color w:val="000000"/>
              </w:rPr>
            </w:pPr>
          </w:p>
        </w:tc>
        <w:tc>
          <w:tcPr>
            <w:tcW w:w="222" w:type="dxa"/>
            <w:tcBorders>
              <w:top w:val="nil"/>
              <w:left w:val="nil"/>
              <w:bottom w:val="nil"/>
              <w:right w:val="nil"/>
            </w:tcBorders>
            <w:noWrap/>
            <w:vAlign w:val="bottom"/>
          </w:tcPr>
          <w:p w14:paraId="03FF43CE" w14:textId="77777777" w:rsidR="00047467" w:rsidRPr="00724D83" w:rsidRDefault="00047467" w:rsidP="0098070F">
            <w:pPr>
              <w:spacing w:after="0" w:line="240" w:lineRule="auto"/>
              <w:rPr>
                <w:rFonts w:ascii="\" w:hAnsi="\"/>
                <w:color w:val="000000"/>
              </w:rPr>
            </w:pPr>
          </w:p>
        </w:tc>
        <w:tc>
          <w:tcPr>
            <w:tcW w:w="1836" w:type="dxa"/>
            <w:tcBorders>
              <w:top w:val="single" w:sz="4" w:space="0" w:color="auto"/>
              <w:left w:val="nil"/>
              <w:bottom w:val="single" w:sz="4" w:space="0" w:color="auto"/>
              <w:right w:val="nil"/>
            </w:tcBorders>
            <w:vAlign w:val="bottom"/>
          </w:tcPr>
          <w:p w14:paraId="03FF43CF" w14:textId="77777777" w:rsidR="00047467" w:rsidRPr="00724D83" w:rsidRDefault="00047467" w:rsidP="0098070F">
            <w:pPr>
              <w:spacing w:after="0" w:line="240" w:lineRule="auto"/>
              <w:jc w:val="center"/>
              <w:rPr>
                <w:rFonts w:ascii="\" w:hAnsi="\"/>
                <w:b/>
                <w:bCs/>
                <w:color w:val="000000"/>
              </w:rPr>
            </w:pPr>
            <w:r w:rsidRPr="00724D83">
              <w:rPr>
                <w:rFonts w:ascii="\" w:hAnsi="\"/>
                <w:b/>
                <w:bCs/>
                <w:color w:val="000000"/>
              </w:rPr>
              <w:t>12 months ended</w:t>
            </w:r>
            <w:r w:rsidRPr="00724D83">
              <w:rPr>
                <w:rFonts w:ascii="\" w:hAnsi="\"/>
                <w:b/>
                <w:bCs/>
                <w:color w:val="000000"/>
              </w:rPr>
              <w:br/>
              <w:t>December 31, 20X1</w:t>
            </w:r>
          </w:p>
        </w:tc>
        <w:tc>
          <w:tcPr>
            <w:tcW w:w="222" w:type="dxa"/>
            <w:tcBorders>
              <w:top w:val="nil"/>
              <w:left w:val="nil"/>
              <w:bottom w:val="nil"/>
              <w:right w:val="nil"/>
            </w:tcBorders>
            <w:noWrap/>
            <w:vAlign w:val="bottom"/>
          </w:tcPr>
          <w:p w14:paraId="03FF43D0" w14:textId="77777777" w:rsidR="00047467" w:rsidRPr="00724D83" w:rsidRDefault="00047467" w:rsidP="0098070F">
            <w:pPr>
              <w:spacing w:after="0" w:line="240" w:lineRule="auto"/>
              <w:rPr>
                <w:rFonts w:ascii="\" w:hAnsi="\"/>
                <w:color w:val="000000"/>
              </w:rPr>
            </w:pPr>
          </w:p>
        </w:tc>
        <w:tc>
          <w:tcPr>
            <w:tcW w:w="1752" w:type="dxa"/>
            <w:tcBorders>
              <w:top w:val="single" w:sz="4" w:space="0" w:color="auto"/>
              <w:left w:val="nil"/>
              <w:bottom w:val="single" w:sz="4" w:space="0" w:color="auto"/>
              <w:right w:val="nil"/>
            </w:tcBorders>
            <w:vAlign w:val="bottom"/>
          </w:tcPr>
          <w:p w14:paraId="03FF43D1" w14:textId="77777777" w:rsidR="00047467" w:rsidRPr="00724D83" w:rsidRDefault="00047467" w:rsidP="0098070F">
            <w:pPr>
              <w:spacing w:after="0" w:line="240" w:lineRule="auto"/>
              <w:jc w:val="center"/>
              <w:rPr>
                <w:rFonts w:ascii="\" w:hAnsi="\"/>
                <w:b/>
                <w:bCs/>
                <w:color w:val="000000"/>
              </w:rPr>
            </w:pPr>
            <w:r w:rsidRPr="00724D83">
              <w:rPr>
                <w:rFonts w:ascii="\" w:hAnsi="\"/>
                <w:b/>
                <w:bCs/>
                <w:color w:val="000000"/>
              </w:rPr>
              <w:t>12 months ended</w:t>
            </w:r>
            <w:r w:rsidRPr="00724D83">
              <w:rPr>
                <w:rFonts w:ascii="\" w:hAnsi="\"/>
                <w:b/>
                <w:bCs/>
                <w:color w:val="000000"/>
              </w:rPr>
              <w:br/>
              <w:t>December 31, 20XX</w:t>
            </w:r>
          </w:p>
        </w:tc>
      </w:tr>
      <w:tr w:rsidR="00047467" w:rsidRPr="00724D83" w14:paraId="03FF43D8" w14:textId="77777777" w:rsidTr="0098070F">
        <w:tc>
          <w:tcPr>
            <w:tcW w:w="5328" w:type="dxa"/>
            <w:tcBorders>
              <w:top w:val="nil"/>
              <w:left w:val="nil"/>
              <w:bottom w:val="nil"/>
              <w:right w:val="nil"/>
            </w:tcBorders>
            <w:noWrap/>
            <w:vAlign w:val="bottom"/>
          </w:tcPr>
          <w:p w14:paraId="03FF43D3" w14:textId="77777777" w:rsidR="00047467" w:rsidRPr="00724D83" w:rsidRDefault="00047467" w:rsidP="0098070F">
            <w:pPr>
              <w:spacing w:after="0" w:line="240" w:lineRule="auto"/>
              <w:rPr>
                <w:rFonts w:ascii="\" w:hAnsi="\"/>
                <w:color w:val="000000"/>
              </w:rPr>
            </w:pPr>
            <w:r w:rsidRPr="00724D83">
              <w:rPr>
                <w:rFonts w:ascii="\" w:hAnsi="\"/>
                <w:color w:val="000000"/>
              </w:rPr>
              <w:t>Actual return on plan assets</w:t>
            </w:r>
          </w:p>
        </w:tc>
        <w:tc>
          <w:tcPr>
            <w:tcW w:w="222" w:type="dxa"/>
            <w:tcBorders>
              <w:top w:val="nil"/>
              <w:left w:val="nil"/>
              <w:bottom w:val="nil"/>
              <w:right w:val="nil"/>
            </w:tcBorders>
            <w:noWrap/>
            <w:vAlign w:val="bottom"/>
          </w:tcPr>
          <w:p w14:paraId="03FF43D4"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vAlign w:val="bottom"/>
          </w:tcPr>
          <w:p w14:paraId="03FF43D5" w14:textId="77777777" w:rsidR="00047467" w:rsidRPr="00724D83" w:rsidRDefault="00047467" w:rsidP="0098070F">
            <w:pPr>
              <w:spacing w:after="0" w:line="240" w:lineRule="auto"/>
              <w:jc w:val="center"/>
              <w:rPr>
                <w:rFonts w:ascii="\" w:hAnsi="\"/>
                <w:b/>
                <w:bCs/>
                <w:color w:val="000000"/>
              </w:rPr>
            </w:pPr>
          </w:p>
        </w:tc>
        <w:tc>
          <w:tcPr>
            <w:tcW w:w="222" w:type="dxa"/>
            <w:tcBorders>
              <w:top w:val="nil"/>
              <w:left w:val="nil"/>
              <w:bottom w:val="nil"/>
              <w:right w:val="nil"/>
            </w:tcBorders>
            <w:noWrap/>
            <w:vAlign w:val="bottom"/>
          </w:tcPr>
          <w:p w14:paraId="03FF43D6"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vAlign w:val="bottom"/>
          </w:tcPr>
          <w:p w14:paraId="03FF43D7" w14:textId="77777777" w:rsidR="00047467" w:rsidRPr="00724D83" w:rsidRDefault="00047467" w:rsidP="0098070F">
            <w:pPr>
              <w:spacing w:after="0" w:line="240" w:lineRule="auto"/>
              <w:jc w:val="center"/>
              <w:rPr>
                <w:rFonts w:ascii="\" w:hAnsi="\"/>
                <w:b/>
                <w:bCs/>
                <w:color w:val="000000"/>
              </w:rPr>
            </w:pPr>
          </w:p>
        </w:tc>
      </w:tr>
    </w:tbl>
    <w:p w14:paraId="3F941249" w14:textId="77777777" w:rsidR="00047467" w:rsidRPr="00724D83" w:rsidRDefault="00047467" w:rsidP="00D55BB2">
      <w:pPr>
        <w:pStyle w:val="Text1"/>
        <w:spacing w:after="120"/>
      </w:pPr>
    </w:p>
    <w:tbl>
      <w:tblPr>
        <w:tblW w:w="5000" w:type="pct"/>
        <w:tblLook w:val="00A0" w:firstRow="1" w:lastRow="0" w:firstColumn="1" w:lastColumn="0" w:noHBand="0" w:noVBand="0"/>
      </w:tblPr>
      <w:tblGrid>
        <w:gridCol w:w="5328"/>
        <w:gridCol w:w="222"/>
        <w:gridCol w:w="1836"/>
        <w:gridCol w:w="222"/>
        <w:gridCol w:w="1752"/>
      </w:tblGrid>
      <w:tr w:rsidR="00047467" w:rsidRPr="00724D83" w14:paraId="03FF43DD" w14:textId="77777777" w:rsidTr="0098070F">
        <w:tc>
          <w:tcPr>
            <w:tcW w:w="5328" w:type="dxa"/>
            <w:tcBorders>
              <w:top w:val="nil"/>
              <w:left w:val="nil"/>
              <w:bottom w:val="nil"/>
              <w:right w:val="nil"/>
            </w:tcBorders>
            <w:noWrap/>
            <w:vAlign w:val="bottom"/>
          </w:tcPr>
          <w:p w14:paraId="03FF43DA" w14:textId="77777777" w:rsidR="00047467" w:rsidRPr="00724D83" w:rsidRDefault="00047467" w:rsidP="0098070F">
            <w:pPr>
              <w:spacing w:after="0" w:line="240" w:lineRule="auto"/>
              <w:rPr>
                <w:rFonts w:ascii="\" w:hAnsi="\"/>
                <w:b/>
                <w:bCs/>
                <w:color w:val="000000"/>
              </w:rPr>
            </w:pPr>
          </w:p>
        </w:tc>
        <w:tc>
          <w:tcPr>
            <w:tcW w:w="222" w:type="dxa"/>
            <w:tcBorders>
              <w:top w:val="nil"/>
              <w:left w:val="nil"/>
              <w:bottom w:val="nil"/>
              <w:right w:val="nil"/>
            </w:tcBorders>
            <w:noWrap/>
            <w:vAlign w:val="bottom"/>
          </w:tcPr>
          <w:p w14:paraId="03FF43DB" w14:textId="77777777" w:rsidR="00047467" w:rsidRPr="00724D83" w:rsidRDefault="00047467" w:rsidP="0098070F">
            <w:pPr>
              <w:spacing w:after="0" w:line="240" w:lineRule="auto"/>
              <w:rPr>
                <w:rFonts w:ascii="\" w:hAnsi="\"/>
                <w:color w:val="000000"/>
              </w:rPr>
            </w:pPr>
          </w:p>
        </w:tc>
        <w:tc>
          <w:tcPr>
            <w:tcW w:w="3810" w:type="dxa"/>
            <w:gridSpan w:val="3"/>
            <w:tcBorders>
              <w:top w:val="nil"/>
              <w:left w:val="nil"/>
              <w:bottom w:val="single" w:sz="4" w:space="0" w:color="auto"/>
              <w:right w:val="nil"/>
            </w:tcBorders>
            <w:noWrap/>
            <w:vAlign w:val="bottom"/>
          </w:tcPr>
          <w:p w14:paraId="03FF43DC" w14:textId="77777777" w:rsidR="00047467" w:rsidRPr="00724D83" w:rsidRDefault="00047467" w:rsidP="0098070F">
            <w:pPr>
              <w:spacing w:after="0" w:line="240" w:lineRule="auto"/>
              <w:jc w:val="center"/>
              <w:rPr>
                <w:rFonts w:ascii="\" w:hAnsi="\"/>
                <w:b/>
                <w:bCs/>
                <w:color w:val="000000"/>
              </w:rPr>
            </w:pPr>
            <w:r w:rsidRPr="00724D83">
              <w:rPr>
                <w:rFonts w:ascii="\" w:hAnsi="\"/>
                <w:b/>
                <w:bCs/>
                <w:color w:val="000000"/>
              </w:rPr>
              <w:t>December 31,</w:t>
            </w:r>
          </w:p>
        </w:tc>
      </w:tr>
      <w:tr w:rsidR="00047467" w:rsidRPr="00724D83" w14:paraId="03FF43E3" w14:textId="77777777" w:rsidTr="0098070F">
        <w:tc>
          <w:tcPr>
            <w:tcW w:w="5328" w:type="dxa"/>
            <w:tcBorders>
              <w:top w:val="nil"/>
              <w:left w:val="nil"/>
              <w:bottom w:val="nil"/>
              <w:right w:val="nil"/>
            </w:tcBorders>
            <w:noWrap/>
            <w:vAlign w:val="bottom"/>
          </w:tcPr>
          <w:p w14:paraId="03FF43DE" w14:textId="77777777" w:rsidR="00047467" w:rsidRPr="00724D83" w:rsidRDefault="00047467" w:rsidP="0098070F">
            <w:pPr>
              <w:spacing w:after="0" w:line="240" w:lineRule="auto"/>
              <w:rPr>
                <w:rFonts w:ascii="\" w:hAnsi="\"/>
                <w:b/>
                <w:bCs/>
                <w:color w:val="000000"/>
              </w:rPr>
            </w:pPr>
            <w:r w:rsidRPr="00724D83">
              <w:rPr>
                <w:rFonts w:ascii="\" w:hAnsi="\"/>
                <w:b/>
                <w:bCs/>
                <w:color w:val="000000"/>
              </w:rPr>
              <w:t>Composition of plan assets by category</w:t>
            </w:r>
          </w:p>
        </w:tc>
        <w:tc>
          <w:tcPr>
            <w:tcW w:w="222" w:type="dxa"/>
            <w:tcBorders>
              <w:top w:val="nil"/>
              <w:left w:val="nil"/>
              <w:bottom w:val="nil"/>
              <w:right w:val="nil"/>
            </w:tcBorders>
            <w:noWrap/>
            <w:vAlign w:val="bottom"/>
          </w:tcPr>
          <w:p w14:paraId="03FF43DF" w14:textId="77777777" w:rsidR="00047467" w:rsidRPr="00724D83" w:rsidRDefault="00047467" w:rsidP="0098070F">
            <w:pPr>
              <w:spacing w:after="0" w:line="240" w:lineRule="auto"/>
              <w:rPr>
                <w:rFonts w:ascii="\" w:hAnsi="\"/>
                <w:color w:val="000000"/>
              </w:rPr>
            </w:pPr>
          </w:p>
        </w:tc>
        <w:tc>
          <w:tcPr>
            <w:tcW w:w="1836" w:type="dxa"/>
            <w:tcBorders>
              <w:top w:val="nil"/>
              <w:left w:val="nil"/>
              <w:bottom w:val="single" w:sz="4" w:space="0" w:color="auto"/>
              <w:right w:val="nil"/>
            </w:tcBorders>
            <w:noWrap/>
            <w:vAlign w:val="bottom"/>
          </w:tcPr>
          <w:p w14:paraId="03FF43E0" w14:textId="77777777" w:rsidR="00047467" w:rsidRPr="00724D83" w:rsidRDefault="00047467" w:rsidP="0098070F">
            <w:pPr>
              <w:spacing w:after="0" w:line="240" w:lineRule="auto"/>
              <w:jc w:val="center"/>
              <w:rPr>
                <w:rFonts w:ascii="\" w:hAnsi="\"/>
                <w:b/>
                <w:bCs/>
                <w:color w:val="000000"/>
              </w:rPr>
            </w:pPr>
            <w:r w:rsidRPr="00724D83">
              <w:rPr>
                <w:rFonts w:ascii="\" w:hAnsi="\"/>
                <w:b/>
                <w:bCs/>
                <w:color w:val="000000"/>
              </w:rPr>
              <w:t>20X1</w:t>
            </w:r>
          </w:p>
        </w:tc>
        <w:tc>
          <w:tcPr>
            <w:tcW w:w="222" w:type="dxa"/>
            <w:tcBorders>
              <w:top w:val="nil"/>
              <w:left w:val="nil"/>
              <w:bottom w:val="nil"/>
              <w:right w:val="nil"/>
            </w:tcBorders>
            <w:noWrap/>
            <w:vAlign w:val="bottom"/>
          </w:tcPr>
          <w:p w14:paraId="03FF43E1" w14:textId="77777777" w:rsidR="00047467" w:rsidRPr="00724D83" w:rsidRDefault="00047467" w:rsidP="0098070F">
            <w:pPr>
              <w:spacing w:after="0" w:line="240" w:lineRule="auto"/>
              <w:jc w:val="center"/>
              <w:rPr>
                <w:rFonts w:ascii="\" w:hAnsi="\"/>
                <w:color w:val="000000"/>
              </w:rPr>
            </w:pPr>
          </w:p>
        </w:tc>
        <w:tc>
          <w:tcPr>
            <w:tcW w:w="1752" w:type="dxa"/>
            <w:tcBorders>
              <w:top w:val="nil"/>
              <w:left w:val="nil"/>
              <w:bottom w:val="single" w:sz="4" w:space="0" w:color="auto"/>
              <w:right w:val="nil"/>
            </w:tcBorders>
            <w:noWrap/>
            <w:vAlign w:val="bottom"/>
          </w:tcPr>
          <w:p w14:paraId="03FF43E2" w14:textId="77777777" w:rsidR="00047467" w:rsidRPr="00724D83" w:rsidRDefault="00047467" w:rsidP="0098070F">
            <w:pPr>
              <w:spacing w:after="0" w:line="240" w:lineRule="auto"/>
              <w:jc w:val="center"/>
              <w:rPr>
                <w:rFonts w:ascii="\" w:hAnsi="\"/>
                <w:b/>
                <w:bCs/>
                <w:color w:val="000000"/>
              </w:rPr>
            </w:pPr>
            <w:r w:rsidRPr="00724D83">
              <w:rPr>
                <w:rFonts w:ascii="\" w:hAnsi="\"/>
                <w:b/>
                <w:bCs/>
                <w:color w:val="000000"/>
              </w:rPr>
              <w:t>20XX</w:t>
            </w:r>
          </w:p>
        </w:tc>
      </w:tr>
      <w:tr w:rsidR="00047467" w:rsidRPr="00724D83" w14:paraId="03FF43E9" w14:textId="77777777" w:rsidTr="0098070F">
        <w:tc>
          <w:tcPr>
            <w:tcW w:w="5328" w:type="dxa"/>
            <w:tcBorders>
              <w:top w:val="nil"/>
              <w:left w:val="nil"/>
              <w:bottom w:val="nil"/>
              <w:right w:val="nil"/>
            </w:tcBorders>
            <w:noWrap/>
            <w:vAlign w:val="bottom"/>
          </w:tcPr>
          <w:p w14:paraId="03FF43E4" w14:textId="77777777" w:rsidR="00047467" w:rsidRPr="00724D83" w:rsidRDefault="00047467" w:rsidP="0098070F">
            <w:pPr>
              <w:spacing w:after="0" w:line="240" w:lineRule="auto"/>
              <w:rPr>
                <w:rFonts w:ascii="\" w:hAnsi="\"/>
                <w:color w:val="000000"/>
              </w:rPr>
            </w:pPr>
            <w:r w:rsidRPr="00724D83">
              <w:rPr>
                <w:rFonts w:ascii="\" w:hAnsi="\"/>
                <w:color w:val="000000"/>
              </w:rPr>
              <w:t>Equity securities</w:t>
            </w:r>
          </w:p>
        </w:tc>
        <w:tc>
          <w:tcPr>
            <w:tcW w:w="222" w:type="dxa"/>
            <w:tcBorders>
              <w:top w:val="nil"/>
              <w:left w:val="nil"/>
              <w:bottom w:val="nil"/>
              <w:right w:val="nil"/>
            </w:tcBorders>
            <w:noWrap/>
            <w:vAlign w:val="bottom"/>
          </w:tcPr>
          <w:p w14:paraId="03FF43E5"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3E6"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3E7"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3E8" w14:textId="77777777" w:rsidR="00047467" w:rsidRPr="00724D83" w:rsidRDefault="00047467" w:rsidP="0098070F">
            <w:pPr>
              <w:spacing w:after="0" w:line="240" w:lineRule="auto"/>
              <w:rPr>
                <w:rFonts w:ascii="\" w:hAnsi="\"/>
                <w:color w:val="000000"/>
              </w:rPr>
            </w:pPr>
          </w:p>
        </w:tc>
      </w:tr>
      <w:tr w:rsidR="00047467" w:rsidRPr="00724D83" w14:paraId="03FF43EF" w14:textId="77777777" w:rsidTr="0098070F">
        <w:tc>
          <w:tcPr>
            <w:tcW w:w="5328" w:type="dxa"/>
            <w:tcBorders>
              <w:top w:val="nil"/>
              <w:left w:val="nil"/>
              <w:bottom w:val="nil"/>
              <w:right w:val="nil"/>
            </w:tcBorders>
            <w:noWrap/>
            <w:vAlign w:val="bottom"/>
          </w:tcPr>
          <w:p w14:paraId="03FF43EA" w14:textId="77777777" w:rsidR="00047467" w:rsidRPr="00724D83" w:rsidRDefault="00047467" w:rsidP="0098070F">
            <w:pPr>
              <w:spacing w:after="0" w:line="240" w:lineRule="auto"/>
              <w:rPr>
                <w:rFonts w:ascii="\" w:hAnsi="\"/>
                <w:color w:val="000000"/>
              </w:rPr>
            </w:pPr>
            <w:r>
              <w:rPr>
                <w:rFonts w:ascii="\" w:hAnsi="\"/>
                <w:color w:val="000000"/>
              </w:rPr>
              <w:t xml:space="preserve">Government </w:t>
            </w:r>
            <w:r w:rsidRPr="00724D83">
              <w:rPr>
                <w:rFonts w:ascii="\" w:hAnsi="\"/>
                <w:color w:val="000000"/>
              </w:rPr>
              <w:t>Bonds</w:t>
            </w:r>
          </w:p>
        </w:tc>
        <w:tc>
          <w:tcPr>
            <w:tcW w:w="222" w:type="dxa"/>
            <w:tcBorders>
              <w:top w:val="nil"/>
              <w:left w:val="nil"/>
              <w:bottom w:val="nil"/>
              <w:right w:val="nil"/>
            </w:tcBorders>
            <w:noWrap/>
            <w:vAlign w:val="bottom"/>
          </w:tcPr>
          <w:p w14:paraId="03FF43EB"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3EC"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3ED"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3EE" w14:textId="77777777" w:rsidR="00047467" w:rsidRPr="00724D83" w:rsidRDefault="00047467" w:rsidP="0098070F">
            <w:pPr>
              <w:spacing w:after="0" w:line="240" w:lineRule="auto"/>
              <w:rPr>
                <w:rFonts w:ascii="\" w:hAnsi="\"/>
                <w:color w:val="000000"/>
              </w:rPr>
            </w:pPr>
          </w:p>
        </w:tc>
      </w:tr>
      <w:tr w:rsidR="00047467" w:rsidRPr="00724D83" w14:paraId="03FF43F5" w14:textId="77777777" w:rsidTr="0098070F">
        <w:tc>
          <w:tcPr>
            <w:tcW w:w="5328" w:type="dxa"/>
            <w:tcBorders>
              <w:top w:val="nil"/>
              <w:left w:val="nil"/>
              <w:bottom w:val="nil"/>
              <w:right w:val="nil"/>
            </w:tcBorders>
            <w:noWrap/>
            <w:vAlign w:val="bottom"/>
          </w:tcPr>
          <w:p w14:paraId="03FF43F0" w14:textId="77777777" w:rsidR="00047467" w:rsidRPr="00724D83" w:rsidRDefault="00047467" w:rsidP="0098070F">
            <w:pPr>
              <w:spacing w:after="0" w:line="240" w:lineRule="auto"/>
              <w:rPr>
                <w:rFonts w:ascii="\" w:hAnsi="\"/>
                <w:color w:val="000000"/>
              </w:rPr>
            </w:pPr>
            <w:r w:rsidRPr="00724D83">
              <w:rPr>
                <w:rFonts w:ascii="\" w:hAnsi="\"/>
                <w:color w:val="000000"/>
              </w:rPr>
              <w:t>Other (insurance funds)</w:t>
            </w:r>
          </w:p>
        </w:tc>
        <w:tc>
          <w:tcPr>
            <w:tcW w:w="222" w:type="dxa"/>
            <w:tcBorders>
              <w:top w:val="nil"/>
              <w:left w:val="nil"/>
              <w:bottom w:val="nil"/>
              <w:right w:val="nil"/>
            </w:tcBorders>
            <w:noWrap/>
            <w:vAlign w:val="bottom"/>
          </w:tcPr>
          <w:p w14:paraId="03FF43F1"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3F2"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3F3"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3F4" w14:textId="77777777" w:rsidR="00047467" w:rsidRPr="00724D83" w:rsidRDefault="00047467" w:rsidP="0098070F">
            <w:pPr>
              <w:spacing w:after="0" w:line="240" w:lineRule="auto"/>
              <w:rPr>
                <w:rFonts w:ascii="\" w:hAnsi="\"/>
                <w:color w:val="000000"/>
              </w:rPr>
            </w:pPr>
          </w:p>
        </w:tc>
      </w:tr>
      <w:tr w:rsidR="00047467" w:rsidRPr="00724D83" w14:paraId="03FF43FB" w14:textId="77777777" w:rsidTr="0098070F">
        <w:tc>
          <w:tcPr>
            <w:tcW w:w="5328" w:type="dxa"/>
            <w:tcBorders>
              <w:top w:val="nil"/>
              <w:left w:val="nil"/>
              <w:bottom w:val="nil"/>
              <w:right w:val="nil"/>
            </w:tcBorders>
            <w:noWrap/>
            <w:vAlign w:val="bottom"/>
          </w:tcPr>
          <w:p w14:paraId="03FF43F6" w14:textId="77777777" w:rsidR="00047467" w:rsidRPr="00724D83" w:rsidRDefault="00047467" w:rsidP="0098070F">
            <w:pPr>
              <w:spacing w:after="0" w:line="240" w:lineRule="auto"/>
              <w:rPr>
                <w:rFonts w:ascii="\" w:hAnsi="\"/>
                <w:b/>
                <w:bCs/>
                <w:color w:val="000000"/>
              </w:rPr>
            </w:pPr>
          </w:p>
        </w:tc>
        <w:tc>
          <w:tcPr>
            <w:tcW w:w="222" w:type="dxa"/>
            <w:tcBorders>
              <w:top w:val="nil"/>
              <w:left w:val="nil"/>
              <w:bottom w:val="nil"/>
              <w:right w:val="nil"/>
            </w:tcBorders>
            <w:noWrap/>
            <w:vAlign w:val="bottom"/>
          </w:tcPr>
          <w:p w14:paraId="03FF43F7" w14:textId="77777777" w:rsidR="00047467" w:rsidRPr="00724D83" w:rsidRDefault="00047467" w:rsidP="0098070F">
            <w:pPr>
              <w:spacing w:after="0" w:line="240" w:lineRule="auto"/>
              <w:rPr>
                <w:rFonts w:ascii="\" w:hAnsi="\"/>
                <w:color w:val="000000"/>
              </w:rPr>
            </w:pPr>
          </w:p>
        </w:tc>
        <w:tc>
          <w:tcPr>
            <w:tcW w:w="1836" w:type="dxa"/>
            <w:tcBorders>
              <w:top w:val="single" w:sz="4" w:space="0" w:color="auto"/>
              <w:left w:val="nil"/>
              <w:bottom w:val="double" w:sz="6" w:space="0" w:color="auto"/>
              <w:right w:val="nil"/>
            </w:tcBorders>
            <w:noWrap/>
            <w:vAlign w:val="bottom"/>
          </w:tcPr>
          <w:p w14:paraId="03FF43F8" w14:textId="77777777" w:rsidR="00047467" w:rsidRPr="00724D83" w:rsidRDefault="00047467" w:rsidP="0098070F">
            <w:pPr>
              <w:spacing w:after="0" w:line="240" w:lineRule="auto"/>
              <w:rPr>
                <w:rFonts w:ascii="\" w:hAnsi="\"/>
                <w:color w:val="000000"/>
              </w:rPr>
            </w:pPr>
            <w:r w:rsidRPr="00724D83">
              <w:rPr>
                <w:rFonts w:ascii="\" w:hAnsi="\"/>
                <w:color w:val="000000"/>
              </w:rPr>
              <w:t> </w:t>
            </w:r>
          </w:p>
        </w:tc>
        <w:tc>
          <w:tcPr>
            <w:tcW w:w="222" w:type="dxa"/>
            <w:tcBorders>
              <w:top w:val="nil"/>
              <w:left w:val="nil"/>
              <w:bottom w:val="nil"/>
              <w:right w:val="nil"/>
            </w:tcBorders>
            <w:noWrap/>
            <w:vAlign w:val="bottom"/>
          </w:tcPr>
          <w:p w14:paraId="03FF43F9" w14:textId="77777777" w:rsidR="00047467" w:rsidRPr="00724D83" w:rsidRDefault="00047467" w:rsidP="0098070F">
            <w:pPr>
              <w:spacing w:after="0" w:line="240" w:lineRule="auto"/>
              <w:rPr>
                <w:rFonts w:ascii="\" w:hAnsi="\"/>
                <w:color w:val="000000"/>
              </w:rPr>
            </w:pPr>
          </w:p>
        </w:tc>
        <w:tc>
          <w:tcPr>
            <w:tcW w:w="1752" w:type="dxa"/>
            <w:tcBorders>
              <w:top w:val="single" w:sz="4" w:space="0" w:color="auto"/>
              <w:left w:val="nil"/>
              <w:bottom w:val="double" w:sz="6" w:space="0" w:color="auto"/>
              <w:right w:val="nil"/>
            </w:tcBorders>
            <w:noWrap/>
            <w:vAlign w:val="bottom"/>
          </w:tcPr>
          <w:p w14:paraId="03FF43FA" w14:textId="77777777" w:rsidR="00047467" w:rsidRPr="00724D83" w:rsidRDefault="00047467" w:rsidP="0098070F">
            <w:pPr>
              <w:spacing w:after="0" w:line="240" w:lineRule="auto"/>
              <w:rPr>
                <w:rFonts w:ascii="\" w:hAnsi="\"/>
                <w:color w:val="000000"/>
              </w:rPr>
            </w:pPr>
            <w:r w:rsidRPr="00724D83">
              <w:rPr>
                <w:rFonts w:ascii="\" w:hAnsi="\"/>
                <w:color w:val="000000"/>
              </w:rPr>
              <w:t> </w:t>
            </w:r>
          </w:p>
        </w:tc>
      </w:tr>
      <w:tr w:rsidR="00047467" w:rsidRPr="00724D83" w14:paraId="03FF4402" w14:textId="77777777" w:rsidTr="0098070F">
        <w:tc>
          <w:tcPr>
            <w:tcW w:w="5328" w:type="dxa"/>
            <w:tcBorders>
              <w:top w:val="nil"/>
              <w:left w:val="nil"/>
              <w:bottom w:val="nil"/>
              <w:right w:val="nil"/>
            </w:tcBorders>
            <w:noWrap/>
            <w:vAlign w:val="bottom"/>
          </w:tcPr>
          <w:p w14:paraId="03FF43FD" w14:textId="1189FD52" w:rsidR="00047467" w:rsidRPr="00724D83" w:rsidRDefault="00047467" w:rsidP="0098070F">
            <w:pPr>
              <w:pageBreakBefore/>
              <w:spacing w:after="0" w:line="240" w:lineRule="auto"/>
              <w:rPr>
                <w:rFonts w:ascii="\" w:hAnsi="\"/>
                <w:b/>
                <w:bCs/>
                <w:color w:val="000000"/>
              </w:rPr>
            </w:pPr>
            <w:proofErr w:type="spellStart"/>
            <w:r w:rsidRPr="00724D83">
              <w:rPr>
                <w:rFonts w:ascii="\" w:hAnsi="\"/>
                <w:b/>
                <w:bCs/>
                <w:color w:val="000000"/>
              </w:rPr>
              <w:lastRenderedPageBreak/>
              <w:t>hanges</w:t>
            </w:r>
            <w:proofErr w:type="spellEnd"/>
            <w:r w:rsidRPr="00724D83">
              <w:rPr>
                <w:rFonts w:ascii="\" w:hAnsi="\"/>
                <w:b/>
                <w:bCs/>
                <w:color w:val="000000"/>
              </w:rPr>
              <w:t xml:space="preserve"> in the present value of the defined benefit obligation</w:t>
            </w:r>
          </w:p>
        </w:tc>
        <w:tc>
          <w:tcPr>
            <w:tcW w:w="222" w:type="dxa"/>
            <w:tcBorders>
              <w:top w:val="nil"/>
              <w:left w:val="nil"/>
              <w:bottom w:val="nil"/>
              <w:right w:val="nil"/>
            </w:tcBorders>
            <w:noWrap/>
            <w:vAlign w:val="bottom"/>
          </w:tcPr>
          <w:p w14:paraId="03FF43FE" w14:textId="77777777" w:rsidR="00047467" w:rsidRPr="00724D83" w:rsidRDefault="00047467" w:rsidP="0098070F">
            <w:pPr>
              <w:pageBreakBefore/>
              <w:spacing w:after="0" w:line="240" w:lineRule="auto"/>
              <w:rPr>
                <w:rFonts w:ascii="\" w:hAnsi="\"/>
                <w:color w:val="000000"/>
              </w:rPr>
            </w:pPr>
          </w:p>
        </w:tc>
        <w:tc>
          <w:tcPr>
            <w:tcW w:w="1836" w:type="dxa"/>
            <w:tcBorders>
              <w:top w:val="single" w:sz="4" w:space="0" w:color="auto"/>
              <w:left w:val="nil"/>
              <w:bottom w:val="single" w:sz="4" w:space="0" w:color="auto"/>
              <w:right w:val="nil"/>
            </w:tcBorders>
            <w:vAlign w:val="bottom"/>
          </w:tcPr>
          <w:p w14:paraId="03FF43FF" w14:textId="77777777" w:rsidR="00047467" w:rsidRPr="00724D83" w:rsidRDefault="00047467" w:rsidP="0098070F">
            <w:pPr>
              <w:pageBreakBefore/>
              <w:spacing w:after="0" w:line="240" w:lineRule="auto"/>
              <w:jc w:val="center"/>
              <w:rPr>
                <w:rFonts w:ascii="\" w:hAnsi="\"/>
                <w:b/>
                <w:bCs/>
                <w:color w:val="000000"/>
              </w:rPr>
            </w:pPr>
            <w:r w:rsidRPr="00724D83">
              <w:rPr>
                <w:rFonts w:ascii="\" w:hAnsi="\"/>
                <w:b/>
                <w:bCs/>
                <w:color w:val="000000"/>
              </w:rPr>
              <w:t>12 months ended</w:t>
            </w:r>
            <w:r w:rsidRPr="00724D83">
              <w:rPr>
                <w:rFonts w:ascii="\" w:hAnsi="\"/>
                <w:b/>
                <w:bCs/>
                <w:color w:val="000000"/>
              </w:rPr>
              <w:br/>
              <w:t>December 31, 20X1</w:t>
            </w:r>
          </w:p>
        </w:tc>
        <w:tc>
          <w:tcPr>
            <w:tcW w:w="222" w:type="dxa"/>
            <w:tcBorders>
              <w:top w:val="nil"/>
              <w:left w:val="nil"/>
              <w:bottom w:val="nil"/>
              <w:right w:val="nil"/>
            </w:tcBorders>
            <w:noWrap/>
            <w:vAlign w:val="bottom"/>
          </w:tcPr>
          <w:p w14:paraId="03FF4400" w14:textId="77777777" w:rsidR="00047467" w:rsidRPr="00724D83" w:rsidRDefault="00047467" w:rsidP="0098070F">
            <w:pPr>
              <w:pageBreakBefore/>
              <w:spacing w:after="0" w:line="240" w:lineRule="auto"/>
              <w:rPr>
                <w:rFonts w:ascii="\" w:hAnsi="\"/>
                <w:color w:val="000000"/>
              </w:rPr>
            </w:pPr>
          </w:p>
        </w:tc>
        <w:tc>
          <w:tcPr>
            <w:tcW w:w="1752" w:type="dxa"/>
            <w:tcBorders>
              <w:top w:val="single" w:sz="4" w:space="0" w:color="auto"/>
              <w:left w:val="nil"/>
              <w:bottom w:val="single" w:sz="4" w:space="0" w:color="auto"/>
              <w:right w:val="nil"/>
            </w:tcBorders>
            <w:vAlign w:val="bottom"/>
          </w:tcPr>
          <w:p w14:paraId="03FF4401" w14:textId="77777777" w:rsidR="00047467" w:rsidRPr="00724D83" w:rsidRDefault="00047467" w:rsidP="0098070F">
            <w:pPr>
              <w:pageBreakBefore/>
              <w:spacing w:after="0" w:line="240" w:lineRule="auto"/>
              <w:jc w:val="center"/>
              <w:rPr>
                <w:rFonts w:ascii="\" w:hAnsi="\"/>
                <w:b/>
                <w:bCs/>
                <w:color w:val="000000"/>
              </w:rPr>
            </w:pPr>
            <w:r w:rsidRPr="00724D83">
              <w:rPr>
                <w:rFonts w:ascii="\" w:hAnsi="\"/>
                <w:b/>
                <w:bCs/>
                <w:color w:val="000000"/>
              </w:rPr>
              <w:t>12 months ended</w:t>
            </w:r>
            <w:r w:rsidRPr="00724D83">
              <w:rPr>
                <w:rFonts w:ascii="\" w:hAnsi="\"/>
                <w:b/>
                <w:bCs/>
                <w:color w:val="000000"/>
              </w:rPr>
              <w:br/>
              <w:t>December 31, 20XX</w:t>
            </w:r>
          </w:p>
        </w:tc>
      </w:tr>
      <w:tr w:rsidR="00047467" w:rsidRPr="00724D83" w14:paraId="03FF4408" w14:textId="77777777" w:rsidTr="0098070F">
        <w:tc>
          <w:tcPr>
            <w:tcW w:w="5328" w:type="dxa"/>
            <w:tcBorders>
              <w:top w:val="nil"/>
              <w:left w:val="nil"/>
              <w:bottom w:val="nil"/>
              <w:right w:val="nil"/>
            </w:tcBorders>
            <w:noWrap/>
            <w:vAlign w:val="bottom"/>
          </w:tcPr>
          <w:p w14:paraId="03FF4403" w14:textId="77777777" w:rsidR="00047467" w:rsidRPr="00724D83" w:rsidRDefault="00047467" w:rsidP="0098070F">
            <w:pPr>
              <w:spacing w:after="0" w:line="240" w:lineRule="auto"/>
              <w:rPr>
                <w:rFonts w:ascii="\" w:hAnsi="\"/>
                <w:color w:val="000000"/>
              </w:rPr>
            </w:pPr>
            <w:r w:rsidRPr="00724D83">
              <w:rPr>
                <w:rFonts w:ascii="\" w:hAnsi="\"/>
                <w:color w:val="000000"/>
              </w:rPr>
              <w:t>Defined benefit obligations at opening</w:t>
            </w:r>
          </w:p>
        </w:tc>
        <w:tc>
          <w:tcPr>
            <w:tcW w:w="222" w:type="dxa"/>
            <w:tcBorders>
              <w:top w:val="nil"/>
              <w:left w:val="nil"/>
              <w:bottom w:val="nil"/>
              <w:right w:val="nil"/>
            </w:tcBorders>
            <w:noWrap/>
            <w:vAlign w:val="bottom"/>
          </w:tcPr>
          <w:p w14:paraId="03FF4404"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05"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06"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07" w14:textId="77777777" w:rsidR="00047467" w:rsidRPr="00724D83" w:rsidRDefault="00047467" w:rsidP="0098070F">
            <w:pPr>
              <w:spacing w:after="0" w:line="240" w:lineRule="auto"/>
              <w:rPr>
                <w:rFonts w:ascii="\" w:hAnsi="\"/>
                <w:color w:val="000000"/>
              </w:rPr>
            </w:pPr>
          </w:p>
        </w:tc>
      </w:tr>
      <w:tr w:rsidR="00047467" w:rsidRPr="00724D83" w14:paraId="03FF440E" w14:textId="77777777" w:rsidTr="0098070F">
        <w:tc>
          <w:tcPr>
            <w:tcW w:w="5328" w:type="dxa"/>
            <w:tcBorders>
              <w:top w:val="nil"/>
              <w:left w:val="nil"/>
              <w:bottom w:val="nil"/>
              <w:right w:val="nil"/>
            </w:tcBorders>
            <w:noWrap/>
            <w:vAlign w:val="bottom"/>
          </w:tcPr>
          <w:p w14:paraId="03FF4409" w14:textId="77777777" w:rsidR="00047467" w:rsidRPr="00724D83" w:rsidRDefault="00047467" w:rsidP="0098070F">
            <w:pPr>
              <w:spacing w:after="0" w:line="240" w:lineRule="auto"/>
              <w:rPr>
                <w:rFonts w:ascii="\" w:hAnsi="\"/>
                <w:color w:val="000000"/>
              </w:rPr>
            </w:pPr>
            <w:r w:rsidRPr="00724D83">
              <w:rPr>
                <w:rFonts w:ascii="\" w:hAnsi="\"/>
                <w:color w:val="000000"/>
              </w:rPr>
              <w:t>Service cost</w:t>
            </w:r>
          </w:p>
        </w:tc>
        <w:tc>
          <w:tcPr>
            <w:tcW w:w="222" w:type="dxa"/>
            <w:tcBorders>
              <w:top w:val="nil"/>
              <w:left w:val="nil"/>
              <w:bottom w:val="nil"/>
              <w:right w:val="nil"/>
            </w:tcBorders>
            <w:noWrap/>
            <w:vAlign w:val="bottom"/>
          </w:tcPr>
          <w:p w14:paraId="03FF440A"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0B"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0C"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0D" w14:textId="77777777" w:rsidR="00047467" w:rsidRPr="00724D83" w:rsidRDefault="00047467" w:rsidP="0098070F">
            <w:pPr>
              <w:spacing w:after="0" w:line="240" w:lineRule="auto"/>
              <w:rPr>
                <w:rFonts w:ascii="\" w:hAnsi="\"/>
                <w:color w:val="000000"/>
              </w:rPr>
            </w:pPr>
          </w:p>
        </w:tc>
      </w:tr>
      <w:tr w:rsidR="00047467" w:rsidRPr="00724D83" w14:paraId="03FF4414" w14:textId="77777777" w:rsidTr="0098070F">
        <w:tc>
          <w:tcPr>
            <w:tcW w:w="5328" w:type="dxa"/>
            <w:tcBorders>
              <w:top w:val="nil"/>
              <w:left w:val="nil"/>
              <w:bottom w:val="nil"/>
              <w:right w:val="nil"/>
            </w:tcBorders>
            <w:noWrap/>
            <w:vAlign w:val="bottom"/>
          </w:tcPr>
          <w:p w14:paraId="03FF440F" w14:textId="77777777" w:rsidR="00047467" w:rsidRPr="00724D83" w:rsidRDefault="00047467" w:rsidP="0098070F">
            <w:pPr>
              <w:spacing w:after="0" w:line="240" w:lineRule="auto"/>
              <w:rPr>
                <w:rFonts w:ascii="\" w:hAnsi="\"/>
                <w:color w:val="000000"/>
              </w:rPr>
            </w:pPr>
            <w:r w:rsidRPr="00724D83">
              <w:rPr>
                <w:rFonts w:ascii="\" w:hAnsi="\"/>
                <w:color w:val="000000"/>
              </w:rPr>
              <w:t>Interest cost</w:t>
            </w:r>
          </w:p>
        </w:tc>
        <w:tc>
          <w:tcPr>
            <w:tcW w:w="222" w:type="dxa"/>
            <w:tcBorders>
              <w:top w:val="nil"/>
              <w:left w:val="nil"/>
              <w:bottom w:val="nil"/>
              <w:right w:val="nil"/>
            </w:tcBorders>
            <w:noWrap/>
            <w:vAlign w:val="bottom"/>
          </w:tcPr>
          <w:p w14:paraId="03FF4410"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11"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12"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13" w14:textId="77777777" w:rsidR="00047467" w:rsidRPr="00724D83" w:rsidRDefault="00047467" w:rsidP="0098070F">
            <w:pPr>
              <w:spacing w:after="0" w:line="240" w:lineRule="auto"/>
              <w:rPr>
                <w:rFonts w:ascii="\" w:hAnsi="\"/>
                <w:color w:val="000000"/>
              </w:rPr>
            </w:pPr>
          </w:p>
        </w:tc>
      </w:tr>
      <w:tr w:rsidR="00047467" w:rsidRPr="00724D83" w14:paraId="03FF441A" w14:textId="77777777" w:rsidTr="0098070F">
        <w:tc>
          <w:tcPr>
            <w:tcW w:w="5328" w:type="dxa"/>
            <w:tcBorders>
              <w:top w:val="nil"/>
              <w:left w:val="nil"/>
              <w:bottom w:val="nil"/>
              <w:right w:val="nil"/>
            </w:tcBorders>
            <w:noWrap/>
            <w:vAlign w:val="bottom"/>
          </w:tcPr>
          <w:p w14:paraId="03FF4415" w14:textId="77777777" w:rsidR="00047467" w:rsidRPr="00724D83" w:rsidRDefault="00047467" w:rsidP="0098070F">
            <w:pPr>
              <w:spacing w:after="0" w:line="240" w:lineRule="auto"/>
              <w:rPr>
                <w:rFonts w:ascii="\" w:hAnsi="\"/>
                <w:color w:val="000000"/>
              </w:rPr>
            </w:pPr>
            <w:r w:rsidRPr="00724D83">
              <w:rPr>
                <w:rFonts w:ascii="\" w:hAnsi="\"/>
                <w:color w:val="000000"/>
              </w:rPr>
              <w:t>Actuarial losses (gains)</w:t>
            </w:r>
          </w:p>
        </w:tc>
        <w:tc>
          <w:tcPr>
            <w:tcW w:w="222" w:type="dxa"/>
            <w:tcBorders>
              <w:top w:val="nil"/>
              <w:left w:val="nil"/>
              <w:bottom w:val="nil"/>
              <w:right w:val="nil"/>
            </w:tcBorders>
            <w:noWrap/>
            <w:vAlign w:val="bottom"/>
          </w:tcPr>
          <w:p w14:paraId="03FF4416"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17"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18"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19" w14:textId="77777777" w:rsidR="00047467" w:rsidRPr="00724D83" w:rsidRDefault="00047467" w:rsidP="0098070F">
            <w:pPr>
              <w:spacing w:after="0" w:line="240" w:lineRule="auto"/>
              <w:rPr>
                <w:rFonts w:ascii="\" w:hAnsi="\"/>
                <w:color w:val="000000"/>
              </w:rPr>
            </w:pPr>
          </w:p>
        </w:tc>
      </w:tr>
      <w:tr w:rsidR="00047467" w:rsidRPr="00724D83" w14:paraId="03FF4420" w14:textId="77777777" w:rsidTr="0098070F">
        <w:tc>
          <w:tcPr>
            <w:tcW w:w="5328" w:type="dxa"/>
            <w:tcBorders>
              <w:top w:val="nil"/>
              <w:left w:val="nil"/>
              <w:bottom w:val="nil"/>
              <w:right w:val="nil"/>
            </w:tcBorders>
            <w:noWrap/>
            <w:vAlign w:val="bottom"/>
          </w:tcPr>
          <w:p w14:paraId="03FF441B" w14:textId="77777777" w:rsidR="00047467" w:rsidRPr="00724D83" w:rsidRDefault="00047467" w:rsidP="0098070F">
            <w:pPr>
              <w:spacing w:after="0" w:line="240" w:lineRule="auto"/>
              <w:rPr>
                <w:rFonts w:ascii="\" w:hAnsi="\"/>
                <w:color w:val="000000"/>
              </w:rPr>
            </w:pPr>
            <w:r w:rsidRPr="00724D83">
              <w:rPr>
                <w:rFonts w:ascii="\" w:hAnsi="\"/>
                <w:color w:val="000000"/>
              </w:rPr>
              <w:t>Liabilities assumed on business combinations</w:t>
            </w:r>
          </w:p>
        </w:tc>
        <w:tc>
          <w:tcPr>
            <w:tcW w:w="222" w:type="dxa"/>
            <w:tcBorders>
              <w:top w:val="nil"/>
              <w:left w:val="nil"/>
              <w:bottom w:val="nil"/>
              <w:right w:val="nil"/>
            </w:tcBorders>
            <w:noWrap/>
            <w:vAlign w:val="bottom"/>
          </w:tcPr>
          <w:p w14:paraId="03FF441C"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1D"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1E"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1F" w14:textId="77777777" w:rsidR="00047467" w:rsidRPr="00724D83" w:rsidRDefault="00047467" w:rsidP="0098070F">
            <w:pPr>
              <w:spacing w:after="0" w:line="240" w:lineRule="auto"/>
              <w:rPr>
                <w:rFonts w:ascii="\" w:hAnsi="\"/>
                <w:color w:val="000000"/>
              </w:rPr>
            </w:pPr>
          </w:p>
        </w:tc>
      </w:tr>
      <w:tr w:rsidR="00047467" w:rsidRPr="00724D83" w14:paraId="03FF4426" w14:textId="77777777" w:rsidTr="0098070F">
        <w:tc>
          <w:tcPr>
            <w:tcW w:w="5328" w:type="dxa"/>
            <w:tcBorders>
              <w:top w:val="nil"/>
              <w:left w:val="nil"/>
              <w:bottom w:val="nil"/>
              <w:right w:val="nil"/>
            </w:tcBorders>
            <w:noWrap/>
            <w:vAlign w:val="bottom"/>
          </w:tcPr>
          <w:p w14:paraId="03FF4421" w14:textId="77777777" w:rsidR="00047467" w:rsidRPr="00724D83" w:rsidRDefault="00047467" w:rsidP="0098070F">
            <w:pPr>
              <w:spacing w:after="0" w:line="240" w:lineRule="auto"/>
              <w:rPr>
                <w:rFonts w:ascii="\" w:hAnsi="\"/>
                <w:color w:val="000000"/>
              </w:rPr>
            </w:pPr>
            <w:r w:rsidRPr="00724D83">
              <w:rPr>
                <w:rFonts w:ascii="\" w:hAnsi="\"/>
                <w:color w:val="000000"/>
              </w:rPr>
              <w:t>Benefits paid</w:t>
            </w:r>
          </w:p>
        </w:tc>
        <w:tc>
          <w:tcPr>
            <w:tcW w:w="222" w:type="dxa"/>
            <w:tcBorders>
              <w:top w:val="nil"/>
              <w:left w:val="nil"/>
              <w:bottom w:val="nil"/>
              <w:right w:val="nil"/>
            </w:tcBorders>
            <w:noWrap/>
            <w:vAlign w:val="bottom"/>
          </w:tcPr>
          <w:p w14:paraId="03FF4422"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23"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24"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25" w14:textId="77777777" w:rsidR="00047467" w:rsidRPr="00724D83" w:rsidRDefault="00047467" w:rsidP="0098070F">
            <w:pPr>
              <w:spacing w:after="0" w:line="240" w:lineRule="auto"/>
              <w:rPr>
                <w:rFonts w:ascii="\" w:hAnsi="\"/>
                <w:color w:val="000000"/>
              </w:rPr>
            </w:pPr>
          </w:p>
        </w:tc>
      </w:tr>
      <w:tr w:rsidR="00047467" w:rsidRPr="00724D83" w14:paraId="03FF442C" w14:textId="77777777" w:rsidTr="0098070F">
        <w:tc>
          <w:tcPr>
            <w:tcW w:w="5328" w:type="dxa"/>
            <w:tcBorders>
              <w:top w:val="nil"/>
              <w:left w:val="nil"/>
              <w:bottom w:val="nil"/>
              <w:right w:val="nil"/>
            </w:tcBorders>
            <w:noWrap/>
            <w:vAlign w:val="bottom"/>
          </w:tcPr>
          <w:p w14:paraId="03FF4427" w14:textId="77777777" w:rsidR="00047467" w:rsidRPr="00724D83" w:rsidRDefault="00047467" w:rsidP="0098070F">
            <w:pPr>
              <w:spacing w:after="0" w:line="240" w:lineRule="auto"/>
              <w:rPr>
                <w:rFonts w:ascii="\" w:hAnsi="\"/>
                <w:b/>
                <w:bCs/>
                <w:color w:val="000000"/>
              </w:rPr>
            </w:pPr>
            <w:r w:rsidRPr="00724D83">
              <w:rPr>
                <w:rFonts w:ascii="\" w:hAnsi="\"/>
                <w:b/>
                <w:bCs/>
                <w:color w:val="000000"/>
              </w:rPr>
              <w:t>Defined benefit obligations at closing</w:t>
            </w:r>
          </w:p>
        </w:tc>
        <w:tc>
          <w:tcPr>
            <w:tcW w:w="222" w:type="dxa"/>
            <w:tcBorders>
              <w:top w:val="nil"/>
              <w:left w:val="nil"/>
              <w:bottom w:val="nil"/>
              <w:right w:val="nil"/>
            </w:tcBorders>
            <w:noWrap/>
            <w:vAlign w:val="bottom"/>
          </w:tcPr>
          <w:p w14:paraId="03FF4428" w14:textId="77777777" w:rsidR="00047467" w:rsidRPr="00724D83" w:rsidRDefault="00047467" w:rsidP="0098070F">
            <w:pPr>
              <w:spacing w:after="0" w:line="240" w:lineRule="auto"/>
              <w:rPr>
                <w:rFonts w:ascii="\" w:hAnsi="\"/>
                <w:color w:val="000000"/>
              </w:rPr>
            </w:pPr>
          </w:p>
        </w:tc>
        <w:tc>
          <w:tcPr>
            <w:tcW w:w="1836" w:type="dxa"/>
            <w:tcBorders>
              <w:top w:val="single" w:sz="4" w:space="0" w:color="auto"/>
              <w:left w:val="nil"/>
              <w:bottom w:val="double" w:sz="6" w:space="0" w:color="auto"/>
              <w:right w:val="nil"/>
            </w:tcBorders>
            <w:noWrap/>
            <w:vAlign w:val="bottom"/>
          </w:tcPr>
          <w:p w14:paraId="03FF4429" w14:textId="77777777" w:rsidR="00047467" w:rsidRPr="00724D83" w:rsidRDefault="00047467" w:rsidP="0098070F">
            <w:pPr>
              <w:spacing w:after="0" w:line="240" w:lineRule="auto"/>
              <w:rPr>
                <w:rFonts w:ascii="\" w:hAnsi="\"/>
                <w:color w:val="000000"/>
              </w:rPr>
            </w:pPr>
            <w:r w:rsidRPr="00724D83">
              <w:rPr>
                <w:rFonts w:ascii="\" w:hAnsi="\"/>
                <w:color w:val="000000"/>
              </w:rPr>
              <w:t> </w:t>
            </w:r>
          </w:p>
        </w:tc>
        <w:tc>
          <w:tcPr>
            <w:tcW w:w="222" w:type="dxa"/>
            <w:tcBorders>
              <w:top w:val="nil"/>
              <w:left w:val="nil"/>
              <w:bottom w:val="nil"/>
              <w:right w:val="nil"/>
            </w:tcBorders>
            <w:noWrap/>
            <w:vAlign w:val="bottom"/>
          </w:tcPr>
          <w:p w14:paraId="03FF442A" w14:textId="77777777" w:rsidR="00047467" w:rsidRPr="00724D83" w:rsidRDefault="00047467" w:rsidP="0098070F">
            <w:pPr>
              <w:spacing w:after="0" w:line="240" w:lineRule="auto"/>
              <w:rPr>
                <w:rFonts w:ascii="\" w:hAnsi="\"/>
                <w:color w:val="000000"/>
              </w:rPr>
            </w:pPr>
          </w:p>
        </w:tc>
        <w:tc>
          <w:tcPr>
            <w:tcW w:w="1752" w:type="dxa"/>
            <w:tcBorders>
              <w:top w:val="single" w:sz="4" w:space="0" w:color="auto"/>
              <w:left w:val="nil"/>
              <w:bottom w:val="double" w:sz="6" w:space="0" w:color="auto"/>
              <w:right w:val="nil"/>
            </w:tcBorders>
            <w:noWrap/>
            <w:vAlign w:val="bottom"/>
          </w:tcPr>
          <w:p w14:paraId="03FF442B" w14:textId="77777777" w:rsidR="00047467" w:rsidRPr="00724D83" w:rsidRDefault="00047467" w:rsidP="0098070F">
            <w:pPr>
              <w:spacing w:after="0" w:line="240" w:lineRule="auto"/>
              <w:rPr>
                <w:rFonts w:ascii="\" w:hAnsi="\"/>
                <w:color w:val="000000"/>
              </w:rPr>
            </w:pPr>
            <w:r w:rsidRPr="00724D83">
              <w:rPr>
                <w:rFonts w:ascii="\" w:hAnsi="\"/>
                <w:color w:val="000000"/>
              </w:rPr>
              <w:t> </w:t>
            </w:r>
          </w:p>
        </w:tc>
      </w:tr>
    </w:tbl>
    <w:p w14:paraId="03FF442D" w14:textId="77777777" w:rsidR="00047467" w:rsidRPr="00724D83" w:rsidRDefault="00047467" w:rsidP="002F3690">
      <w:pPr>
        <w:pStyle w:val="Text1"/>
      </w:pPr>
    </w:p>
    <w:tbl>
      <w:tblPr>
        <w:tblW w:w="5000" w:type="pct"/>
        <w:tblLook w:val="00A0" w:firstRow="1" w:lastRow="0" w:firstColumn="1" w:lastColumn="0" w:noHBand="0" w:noVBand="0"/>
      </w:tblPr>
      <w:tblGrid>
        <w:gridCol w:w="5328"/>
        <w:gridCol w:w="222"/>
        <w:gridCol w:w="1836"/>
        <w:gridCol w:w="222"/>
        <w:gridCol w:w="1752"/>
      </w:tblGrid>
      <w:tr w:rsidR="00047467" w:rsidRPr="00724D83" w14:paraId="03FF4433" w14:textId="77777777" w:rsidTr="0098070F">
        <w:tc>
          <w:tcPr>
            <w:tcW w:w="5328" w:type="dxa"/>
            <w:tcBorders>
              <w:top w:val="nil"/>
              <w:left w:val="nil"/>
              <w:bottom w:val="nil"/>
              <w:right w:val="nil"/>
            </w:tcBorders>
            <w:noWrap/>
            <w:vAlign w:val="bottom"/>
          </w:tcPr>
          <w:p w14:paraId="03FF442E" w14:textId="77777777" w:rsidR="00047467" w:rsidRPr="00724D83" w:rsidRDefault="00047467" w:rsidP="0098070F">
            <w:pPr>
              <w:spacing w:after="0" w:line="240" w:lineRule="auto"/>
              <w:rPr>
                <w:rFonts w:ascii="\" w:hAnsi="\"/>
                <w:b/>
                <w:bCs/>
                <w:color w:val="000000"/>
              </w:rPr>
            </w:pPr>
            <w:r w:rsidRPr="00724D83">
              <w:rPr>
                <w:rFonts w:ascii="\" w:hAnsi="\"/>
                <w:b/>
                <w:bCs/>
                <w:color w:val="000000"/>
              </w:rPr>
              <w:t>Changes in the present value of plan assets</w:t>
            </w:r>
          </w:p>
        </w:tc>
        <w:tc>
          <w:tcPr>
            <w:tcW w:w="222" w:type="dxa"/>
            <w:tcBorders>
              <w:top w:val="nil"/>
              <w:left w:val="nil"/>
              <w:bottom w:val="nil"/>
              <w:right w:val="nil"/>
            </w:tcBorders>
            <w:noWrap/>
            <w:vAlign w:val="bottom"/>
          </w:tcPr>
          <w:p w14:paraId="03FF442F" w14:textId="77777777" w:rsidR="00047467" w:rsidRPr="00724D83" w:rsidRDefault="00047467" w:rsidP="0098070F">
            <w:pPr>
              <w:spacing w:after="0" w:line="240" w:lineRule="auto"/>
              <w:rPr>
                <w:rFonts w:ascii="\" w:hAnsi="\"/>
                <w:color w:val="000000"/>
              </w:rPr>
            </w:pPr>
          </w:p>
        </w:tc>
        <w:tc>
          <w:tcPr>
            <w:tcW w:w="1836" w:type="dxa"/>
            <w:tcBorders>
              <w:top w:val="single" w:sz="4" w:space="0" w:color="auto"/>
              <w:left w:val="nil"/>
              <w:bottom w:val="single" w:sz="4" w:space="0" w:color="auto"/>
              <w:right w:val="nil"/>
            </w:tcBorders>
            <w:vAlign w:val="bottom"/>
          </w:tcPr>
          <w:p w14:paraId="03FF4430" w14:textId="77777777" w:rsidR="00047467" w:rsidRPr="00724D83" w:rsidRDefault="00047467" w:rsidP="0098070F">
            <w:pPr>
              <w:spacing w:after="0" w:line="240" w:lineRule="auto"/>
              <w:jc w:val="center"/>
              <w:rPr>
                <w:rFonts w:ascii="\" w:hAnsi="\"/>
                <w:b/>
                <w:bCs/>
                <w:color w:val="000000"/>
              </w:rPr>
            </w:pPr>
            <w:r w:rsidRPr="00724D83">
              <w:rPr>
                <w:rFonts w:ascii="\" w:hAnsi="\"/>
                <w:b/>
                <w:bCs/>
                <w:color w:val="000000"/>
              </w:rPr>
              <w:t>12 months ended</w:t>
            </w:r>
            <w:r w:rsidRPr="00724D83">
              <w:rPr>
                <w:rFonts w:ascii="\" w:hAnsi="\"/>
                <w:b/>
                <w:bCs/>
                <w:color w:val="000000"/>
              </w:rPr>
              <w:br/>
              <w:t>December 31, 20X1</w:t>
            </w:r>
          </w:p>
        </w:tc>
        <w:tc>
          <w:tcPr>
            <w:tcW w:w="222" w:type="dxa"/>
            <w:tcBorders>
              <w:top w:val="nil"/>
              <w:left w:val="nil"/>
              <w:bottom w:val="nil"/>
              <w:right w:val="nil"/>
            </w:tcBorders>
            <w:noWrap/>
            <w:vAlign w:val="bottom"/>
          </w:tcPr>
          <w:p w14:paraId="03FF4431" w14:textId="77777777" w:rsidR="00047467" w:rsidRPr="00724D83" w:rsidRDefault="00047467" w:rsidP="0098070F">
            <w:pPr>
              <w:spacing w:after="0" w:line="240" w:lineRule="auto"/>
              <w:rPr>
                <w:rFonts w:ascii="\" w:hAnsi="\"/>
                <w:color w:val="000000"/>
              </w:rPr>
            </w:pPr>
          </w:p>
        </w:tc>
        <w:tc>
          <w:tcPr>
            <w:tcW w:w="1752" w:type="dxa"/>
            <w:tcBorders>
              <w:top w:val="single" w:sz="4" w:space="0" w:color="auto"/>
              <w:left w:val="nil"/>
              <w:bottom w:val="single" w:sz="4" w:space="0" w:color="auto"/>
              <w:right w:val="nil"/>
            </w:tcBorders>
            <w:vAlign w:val="bottom"/>
          </w:tcPr>
          <w:p w14:paraId="03FF4432" w14:textId="77777777" w:rsidR="00047467" w:rsidRPr="00724D83" w:rsidRDefault="00047467" w:rsidP="0098070F">
            <w:pPr>
              <w:spacing w:after="0" w:line="240" w:lineRule="auto"/>
              <w:jc w:val="center"/>
              <w:rPr>
                <w:rFonts w:ascii="\" w:hAnsi="\"/>
                <w:b/>
                <w:bCs/>
                <w:color w:val="000000"/>
              </w:rPr>
            </w:pPr>
            <w:r w:rsidRPr="00724D83">
              <w:rPr>
                <w:rFonts w:ascii="\" w:hAnsi="\"/>
                <w:b/>
                <w:bCs/>
                <w:color w:val="000000"/>
              </w:rPr>
              <w:t>12 months ended</w:t>
            </w:r>
            <w:r w:rsidRPr="00724D83">
              <w:rPr>
                <w:rFonts w:ascii="\" w:hAnsi="\"/>
                <w:b/>
                <w:bCs/>
                <w:color w:val="000000"/>
              </w:rPr>
              <w:br/>
              <w:t>December 31, 20XX</w:t>
            </w:r>
          </w:p>
        </w:tc>
      </w:tr>
      <w:tr w:rsidR="00047467" w:rsidRPr="00724D83" w14:paraId="03FF4439" w14:textId="77777777" w:rsidTr="0098070F">
        <w:tc>
          <w:tcPr>
            <w:tcW w:w="5328" w:type="dxa"/>
            <w:tcBorders>
              <w:top w:val="nil"/>
              <w:left w:val="nil"/>
              <w:bottom w:val="nil"/>
              <w:right w:val="nil"/>
            </w:tcBorders>
            <w:noWrap/>
            <w:vAlign w:val="bottom"/>
          </w:tcPr>
          <w:p w14:paraId="03FF4434" w14:textId="77777777" w:rsidR="00047467" w:rsidRPr="00724D83" w:rsidRDefault="00047467" w:rsidP="0098070F">
            <w:pPr>
              <w:spacing w:after="0" w:line="240" w:lineRule="auto"/>
              <w:rPr>
                <w:rFonts w:ascii="\" w:hAnsi="\"/>
                <w:color w:val="000000"/>
              </w:rPr>
            </w:pPr>
            <w:r w:rsidRPr="00724D83">
              <w:rPr>
                <w:rFonts w:ascii="\" w:hAnsi="\"/>
                <w:color w:val="000000"/>
              </w:rPr>
              <w:t>Fair value of plan assets at opening</w:t>
            </w:r>
          </w:p>
        </w:tc>
        <w:tc>
          <w:tcPr>
            <w:tcW w:w="222" w:type="dxa"/>
            <w:tcBorders>
              <w:top w:val="nil"/>
              <w:left w:val="nil"/>
              <w:bottom w:val="nil"/>
              <w:right w:val="nil"/>
            </w:tcBorders>
            <w:noWrap/>
            <w:vAlign w:val="bottom"/>
          </w:tcPr>
          <w:p w14:paraId="03FF4435"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36"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37"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38" w14:textId="77777777" w:rsidR="00047467" w:rsidRPr="00724D83" w:rsidRDefault="00047467" w:rsidP="0098070F">
            <w:pPr>
              <w:spacing w:after="0" w:line="240" w:lineRule="auto"/>
              <w:rPr>
                <w:rFonts w:ascii="\" w:hAnsi="\"/>
                <w:color w:val="000000"/>
              </w:rPr>
            </w:pPr>
          </w:p>
        </w:tc>
      </w:tr>
      <w:tr w:rsidR="00047467" w:rsidRPr="00724D83" w14:paraId="03FF443F" w14:textId="77777777" w:rsidTr="0098070F">
        <w:tc>
          <w:tcPr>
            <w:tcW w:w="5328" w:type="dxa"/>
            <w:tcBorders>
              <w:top w:val="nil"/>
              <w:left w:val="nil"/>
              <w:bottom w:val="nil"/>
              <w:right w:val="nil"/>
            </w:tcBorders>
            <w:noWrap/>
            <w:vAlign w:val="bottom"/>
          </w:tcPr>
          <w:p w14:paraId="03FF443A" w14:textId="77777777" w:rsidR="00047467" w:rsidRPr="00724D83" w:rsidRDefault="00047467" w:rsidP="0098070F">
            <w:pPr>
              <w:spacing w:after="0" w:line="240" w:lineRule="auto"/>
              <w:rPr>
                <w:rFonts w:ascii="\" w:hAnsi="\"/>
                <w:color w:val="000000"/>
              </w:rPr>
            </w:pPr>
            <w:r w:rsidRPr="00724D83">
              <w:rPr>
                <w:rFonts w:ascii="\" w:hAnsi="\"/>
                <w:color w:val="000000"/>
              </w:rPr>
              <w:t>Contributions paid into the plan</w:t>
            </w:r>
          </w:p>
        </w:tc>
        <w:tc>
          <w:tcPr>
            <w:tcW w:w="222" w:type="dxa"/>
            <w:tcBorders>
              <w:top w:val="nil"/>
              <w:left w:val="nil"/>
              <w:bottom w:val="nil"/>
              <w:right w:val="nil"/>
            </w:tcBorders>
            <w:noWrap/>
            <w:vAlign w:val="bottom"/>
          </w:tcPr>
          <w:p w14:paraId="03FF443B"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3C"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3D"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3E" w14:textId="77777777" w:rsidR="00047467" w:rsidRPr="00724D83" w:rsidRDefault="00047467" w:rsidP="0098070F">
            <w:pPr>
              <w:spacing w:after="0" w:line="240" w:lineRule="auto"/>
              <w:rPr>
                <w:rFonts w:ascii="\" w:hAnsi="\"/>
                <w:color w:val="000000"/>
              </w:rPr>
            </w:pPr>
          </w:p>
        </w:tc>
      </w:tr>
      <w:tr w:rsidR="00047467" w:rsidRPr="00724D83" w14:paraId="03FF4445" w14:textId="77777777" w:rsidTr="0098070F">
        <w:tc>
          <w:tcPr>
            <w:tcW w:w="5328" w:type="dxa"/>
            <w:tcBorders>
              <w:top w:val="nil"/>
              <w:left w:val="nil"/>
              <w:bottom w:val="nil"/>
              <w:right w:val="nil"/>
            </w:tcBorders>
            <w:noWrap/>
            <w:vAlign w:val="bottom"/>
          </w:tcPr>
          <w:p w14:paraId="03FF4440" w14:textId="77777777" w:rsidR="00047467" w:rsidRPr="00724D83" w:rsidRDefault="00047467" w:rsidP="0098070F">
            <w:pPr>
              <w:spacing w:after="0" w:line="240" w:lineRule="auto"/>
              <w:rPr>
                <w:rFonts w:ascii="\" w:hAnsi="\"/>
                <w:color w:val="000000"/>
              </w:rPr>
            </w:pPr>
            <w:r w:rsidRPr="00724D83">
              <w:rPr>
                <w:rFonts w:ascii="\" w:hAnsi="\"/>
                <w:color w:val="000000"/>
              </w:rPr>
              <w:t>Benefits paid by the plan</w:t>
            </w:r>
          </w:p>
        </w:tc>
        <w:tc>
          <w:tcPr>
            <w:tcW w:w="222" w:type="dxa"/>
            <w:tcBorders>
              <w:top w:val="nil"/>
              <w:left w:val="nil"/>
              <w:bottom w:val="nil"/>
              <w:right w:val="nil"/>
            </w:tcBorders>
            <w:noWrap/>
            <w:vAlign w:val="bottom"/>
          </w:tcPr>
          <w:p w14:paraId="03FF4441"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42"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43"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44" w14:textId="77777777" w:rsidR="00047467" w:rsidRPr="00724D83" w:rsidRDefault="00047467" w:rsidP="0098070F">
            <w:pPr>
              <w:spacing w:after="0" w:line="240" w:lineRule="auto"/>
              <w:rPr>
                <w:rFonts w:ascii="\" w:hAnsi="\"/>
                <w:color w:val="000000"/>
              </w:rPr>
            </w:pPr>
          </w:p>
        </w:tc>
      </w:tr>
      <w:tr w:rsidR="00047467" w:rsidRPr="00724D83" w14:paraId="03FF444B" w14:textId="77777777" w:rsidTr="0098070F">
        <w:tc>
          <w:tcPr>
            <w:tcW w:w="5328" w:type="dxa"/>
            <w:tcBorders>
              <w:top w:val="nil"/>
              <w:left w:val="nil"/>
              <w:bottom w:val="nil"/>
              <w:right w:val="nil"/>
            </w:tcBorders>
            <w:noWrap/>
            <w:vAlign w:val="bottom"/>
          </w:tcPr>
          <w:p w14:paraId="03FF4446" w14:textId="77777777" w:rsidR="00047467" w:rsidRPr="00724D83" w:rsidRDefault="00047467" w:rsidP="0098070F">
            <w:pPr>
              <w:spacing w:after="0" w:line="240" w:lineRule="auto"/>
              <w:rPr>
                <w:rFonts w:ascii="\" w:hAnsi="\"/>
                <w:color w:val="000000"/>
              </w:rPr>
            </w:pPr>
            <w:r w:rsidRPr="00724D83">
              <w:rPr>
                <w:rFonts w:ascii="\" w:hAnsi="\"/>
                <w:color w:val="000000"/>
              </w:rPr>
              <w:t>Expected return on plan assets</w:t>
            </w:r>
          </w:p>
        </w:tc>
        <w:tc>
          <w:tcPr>
            <w:tcW w:w="222" w:type="dxa"/>
            <w:tcBorders>
              <w:top w:val="nil"/>
              <w:left w:val="nil"/>
              <w:bottom w:val="nil"/>
              <w:right w:val="nil"/>
            </w:tcBorders>
            <w:noWrap/>
            <w:vAlign w:val="bottom"/>
          </w:tcPr>
          <w:p w14:paraId="03FF4447"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48"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49"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4A" w14:textId="77777777" w:rsidR="00047467" w:rsidRPr="00724D83" w:rsidRDefault="00047467" w:rsidP="0098070F">
            <w:pPr>
              <w:spacing w:after="0" w:line="240" w:lineRule="auto"/>
              <w:rPr>
                <w:rFonts w:ascii="\" w:hAnsi="\"/>
                <w:color w:val="000000"/>
              </w:rPr>
            </w:pPr>
          </w:p>
        </w:tc>
      </w:tr>
      <w:tr w:rsidR="00047467" w:rsidRPr="00724D83" w14:paraId="03FF4451" w14:textId="77777777" w:rsidTr="0098070F">
        <w:tc>
          <w:tcPr>
            <w:tcW w:w="5328" w:type="dxa"/>
            <w:tcBorders>
              <w:top w:val="nil"/>
              <w:left w:val="nil"/>
              <w:bottom w:val="nil"/>
              <w:right w:val="nil"/>
            </w:tcBorders>
            <w:noWrap/>
            <w:vAlign w:val="bottom"/>
          </w:tcPr>
          <w:p w14:paraId="03FF444C" w14:textId="77777777" w:rsidR="00047467" w:rsidRPr="00724D83" w:rsidRDefault="00047467" w:rsidP="0098070F">
            <w:pPr>
              <w:spacing w:after="0" w:line="240" w:lineRule="auto"/>
              <w:rPr>
                <w:rFonts w:ascii="\" w:hAnsi="\"/>
                <w:color w:val="000000"/>
              </w:rPr>
            </w:pPr>
            <w:r w:rsidRPr="00724D83">
              <w:rPr>
                <w:rFonts w:ascii="\" w:hAnsi="\"/>
                <w:color w:val="000000"/>
              </w:rPr>
              <w:t>Actuarial (losses) gains recognized in equity</w:t>
            </w:r>
          </w:p>
        </w:tc>
        <w:tc>
          <w:tcPr>
            <w:tcW w:w="222" w:type="dxa"/>
            <w:tcBorders>
              <w:top w:val="nil"/>
              <w:left w:val="nil"/>
              <w:bottom w:val="nil"/>
              <w:right w:val="nil"/>
            </w:tcBorders>
            <w:noWrap/>
            <w:vAlign w:val="bottom"/>
          </w:tcPr>
          <w:p w14:paraId="03FF444D"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4E"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4F"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50" w14:textId="77777777" w:rsidR="00047467" w:rsidRPr="00724D83" w:rsidRDefault="00047467" w:rsidP="0098070F">
            <w:pPr>
              <w:spacing w:after="0" w:line="240" w:lineRule="auto"/>
              <w:rPr>
                <w:rFonts w:ascii="\" w:hAnsi="\"/>
                <w:color w:val="000000"/>
              </w:rPr>
            </w:pPr>
          </w:p>
        </w:tc>
      </w:tr>
      <w:tr w:rsidR="00047467" w:rsidRPr="00724D83" w14:paraId="03FF4457" w14:textId="77777777" w:rsidTr="0098070F">
        <w:tc>
          <w:tcPr>
            <w:tcW w:w="5328" w:type="dxa"/>
            <w:tcBorders>
              <w:top w:val="nil"/>
              <w:left w:val="nil"/>
              <w:bottom w:val="nil"/>
              <w:right w:val="nil"/>
            </w:tcBorders>
            <w:noWrap/>
            <w:vAlign w:val="bottom"/>
          </w:tcPr>
          <w:p w14:paraId="03FF4452" w14:textId="77777777" w:rsidR="00047467" w:rsidRPr="00724D83" w:rsidRDefault="00047467" w:rsidP="0098070F">
            <w:pPr>
              <w:spacing w:after="0" w:line="240" w:lineRule="auto"/>
              <w:rPr>
                <w:rFonts w:ascii="\" w:hAnsi="\"/>
                <w:color w:val="000000"/>
              </w:rPr>
            </w:pPr>
            <w:r w:rsidRPr="00724D83">
              <w:rPr>
                <w:rFonts w:ascii="\" w:hAnsi="\"/>
                <w:color w:val="000000"/>
              </w:rPr>
              <w:t>Assets acquired on business combinations</w:t>
            </w:r>
          </w:p>
        </w:tc>
        <w:tc>
          <w:tcPr>
            <w:tcW w:w="222" w:type="dxa"/>
            <w:tcBorders>
              <w:top w:val="nil"/>
              <w:left w:val="nil"/>
              <w:bottom w:val="nil"/>
              <w:right w:val="nil"/>
            </w:tcBorders>
            <w:noWrap/>
            <w:vAlign w:val="bottom"/>
          </w:tcPr>
          <w:p w14:paraId="03FF4453"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54"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55"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56" w14:textId="77777777" w:rsidR="00047467" w:rsidRPr="00724D83" w:rsidRDefault="00047467" w:rsidP="0098070F">
            <w:pPr>
              <w:spacing w:after="0" w:line="240" w:lineRule="auto"/>
              <w:rPr>
                <w:rFonts w:ascii="\" w:hAnsi="\"/>
                <w:color w:val="000000"/>
              </w:rPr>
            </w:pPr>
          </w:p>
        </w:tc>
      </w:tr>
      <w:tr w:rsidR="00047467" w:rsidRPr="00724D83" w14:paraId="03FF445D" w14:textId="77777777" w:rsidTr="0098070F">
        <w:tc>
          <w:tcPr>
            <w:tcW w:w="5328" w:type="dxa"/>
            <w:tcBorders>
              <w:top w:val="nil"/>
              <w:left w:val="nil"/>
              <w:bottom w:val="nil"/>
              <w:right w:val="nil"/>
            </w:tcBorders>
            <w:noWrap/>
            <w:vAlign w:val="bottom"/>
          </w:tcPr>
          <w:p w14:paraId="03FF4458" w14:textId="77777777" w:rsidR="00047467" w:rsidRPr="00724D83" w:rsidRDefault="00047467" w:rsidP="0098070F">
            <w:pPr>
              <w:spacing w:after="0" w:line="240" w:lineRule="auto"/>
              <w:rPr>
                <w:rFonts w:ascii="\" w:hAnsi="\"/>
                <w:b/>
                <w:bCs/>
                <w:color w:val="000000"/>
              </w:rPr>
            </w:pPr>
            <w:r w:rsidRPr="00724D83">
              <w:rPr>
                <w:rFonts w:ascii="\" w:hAnsi="\"/>
                <w:b/>
                <w:bCs/>
                <w:color w:val="000000"/>
              </w:rPr>
              <w:t>Fair value of plan assets at closing</w:t>
            </w:r>
          </w:p>
        </w:tc>
        <w:tc>
          <w:tcPr>
            <w:tcW w:w="222" w:type="dxa"/>
            <w:tcBorders>
              <w:top w:val="nil"/>
              <w:left w:val="nil"/>
              <w:bottom w:val="nil"/>
              <w:right w:val="nil"/>
            </w:tcBorders>
            <w:noWrap/>
            <w:vAlign w:val="bottom"/>
          </w:tcPr>
          <w:p w14:paraId="03FF4459" w14:textId="77777777" w:rsidR="00047467" w:rsidRPr="00724D83" w:rsidRDefault="00047467" w:rsidP="0098070F">
            <w:pPr>
              <w:spacing w:after="0" w:line="240" w:lineRule="auto"/>
              <w:rPr>
                <w:rFonts w:ascii="\" w:hAnsi="\"/>
                <w:color w:val="000000"/>
              </w:rPr>
            </w:pPr>
          </w:p>
        </w:tc>
        <w:tc>
          <w:tcPr>
            <w:tcW w:w="1836" w:type="dxa"/>
            <w:tcBorders>
              <w:top w:val="single" w:sz="4" w:space="0" w:color="auto"/>
              <w:left w:val="nil"/>
              <w:bottom w:val="double" w:sz="6" w:space="0" w:color="auto"/>
              <w:right w:val="nil"/>
            </w:tcBorders>
            <w:noWrap/>
            <w:vAlign w:val="bottom"/>
          </w:tcPr>
          <w:p w14:paraId="03FF445A" w14:textId="77777777" w:rsidR="00047467" w:rsidRPr="00724D83" w:rsidRDefault="00047467" w:rsidP="0098070F">
            <w:pPr>
              <w:spacing w:after="0" w:line="240" w:lineRule="auto"/>
              <w:rPr>
                <w:rFonts w:ascii="\" w:hAnsi="\"/>
                <w:color w:val="000000"/>
              </w:rPr>
            </w:pPr>
            <w:r w:rsidRPr="00724D83">
              <w:rPr>
                <w:rFonts w:ascii="\" w:hAnsi="\"/>
                <w:color w:val="000000"/>
              </w:rPr>
              <w:t> </w:t>
            </w:r>
          </w:p>
        </w:tc>
        <w:tc>
          <w:tcPr>
            <w:tcW w:w="222" w:type="dxa"/>
            <w:tcBorders>
              <w:top w:val="nil"/>
              <w:left w:val="nil"/>
              <w:bottom w:val="nil"/>
              <w:right w:val="nil"/>
            </w:tcBorders>
            <w:noWrap/>
            <w:vAlign w:val="bottom"/>
          </w:tcPr>
          <w:p w14:paraId="03FF445B" w14:textId="77777777" w:rsidR="00047467" w:rsidRPr="00724D83" w:rsidRDefault="00047467" w:rsidP="0098070F">
            <w:pPr>
              <w:spacing w:after="0" w:line="240" w:lineRule="auto"/>
              <w:rPr>
                <w:rFonts w:ascii="\" w:hAnsi="\"/>
                <w:color w:val="000000"/>
              </w:rPr>
            </w:pPr>
          </w:p>
        </w:tc>
        <w:tc>
          <w:tcPr>
            <w:tcW w:w="1752" w:type="dxa"/>
            <w:tcBorders>
              <w:top w:val="single" w:sz="4" w:space="0" w:color="auto"/>
              <w:left w:val="nil"/>
              <w:bottom w:val="double" w:sz="6" w:space="0" w:color="auto"/>
              <w:right w:val="nil"/>
            </w:tcBorders>
            <w:noWrap/>
            <w:vAlign w:val="bottom"/>
          </w:tcPr>
          <w:p w14:paraId="03FF445C" w14:textId="77777777" w:rsidR="00047467" w:rsidRPr="00724D83" w:rsidRDefault="00047467" w:rsidP="0098070F">
            <w:pPr>
              <w:spacing w:after="0" w:line="240" w:lineRule="auto"/>
              <w:rPr>
                <w:rFonts w:ascii="\" w:hAnsi="\"/>
                <w:color w:val="000000"/>
              </w:rPr>
            </w:pPr>
            <w:r w:rsidRPr="00724D83">
              <w:rPr>
                <w:rFonts w:ascii="\" w:hAnsi="\"/>
                <w:color w:val="000000"/>
              </w:rPr>
              <w:t> </w:t>
            </w:r>
          </w:p>
        </w:tc>
      </w:tr>
    </w:tbl>
    <w:p w14:paraId="03FF445E" w14:textId="77777777" w:rsidR="00047467" w:rsidRPr="00724D83" w:rsidRDefault="00047467" w:rsidP="002F3690">
      <w:pPr>
        <w:pStyle w:val="Text1"/>
      </w:pPr>
    </w:p>
    <w:tbl>
      <w:tblPr>
        <w:tblW w:w="5000" w:type="pct"/>
        <w:tblLook w:val="00A0" w:firstRow="1" w:lastRow="0" w:firstColumn="1" w:lastColumn="0" w:noHBand="0" w:noVBand="0"/>
      </w:tblPr>
      <w:tblGrid>
        <w:gridCol w:w="5328"/>
        <w:gridCol w:w="222"/>
        <w:gridCol w:w="1836"/>
        <w:gridCol w:w="222"/>
        <w:gridCol w:w="1752"/>
      </w:tblGrid>
      <w:tr w:rsidR="00047467" w:rsidRPr="00724D83" w14:paraId="03FF4464" w14:textId="77777777" w:rsidTr="0098070F">
        <w:tc>
          <w:tcPr>
            <w:tcW w:w="5328" w:type="dxa"/>
            <w:tcBorders>
              <w:top w:val="nil"/>
              <w:left w:val="nil"/>
              <w:bottom w:val="nil"/>
              <w:right w:val="nil"/>
            </w:tcBorders>
            <w:noWrap/>
            <w:vAlign w:val="bottom"/>
          </w:tcPr>
          <w:p w14:paraId="03FF445F" w14:textId="77777777" w:rsidR="00047467" w:rsidRPr="00724D83" w:rsidRDefault="00047467" w:rsidP="0098070F">
            <w:pPr>
              <w:spacing w:after="0" w:line="240" w:lineRule="auto"/>
              <w:rPr>
                <w:rFonts w:ascii="\" w:hAnsi="\"/>
                <w:b/>
                <w:bCs/>
                <w:color w:val="000000"/>
              </w:rPr>
            </w:pPr>
            <w:r w:rsidRPr="00724D83">
              <w:rPr>
                <w:rFonts w:ascii="\" w:hAnsi="\"/>
                <w:b/>
                <w:bCs/>
                <w:color w:val="000000"/>
              </w:rPr>
              <w:t>Change in the net liability</w:t>
            </w:r>
          </w:p>
        </w:tc>
        <w:tc>
          <w:tcPr>
            <w:tcW w:w="222" w:type="dxa"/>
            <w:tcBorders>
              <w:top w:val="nil"/>
              <w:left w:val="nil"/>
              <w:bottom w:val="nil"/>
              <w:right w:val="nil"/>
            </w:tcBorders>
            <w:noWrap/>
            <w:vAlign w:val="bottom"/>
          </w:tcPr>
          <w:p w14:paraId="03FF4460" w14:textId="77777777" w:rsidR="00047467" w:rsidRPr="00724D83" w:rsidRDefault="00047467" w:rsidP="0098070F">
            <w:pPr>
              <w:spacing w:after="0" w:line="240" w:lineRule="auto"/>
              <w:rPr>
                <w:rFonts w:ascii="\" w:hAnsi="\"/>
                <w:color w:val="000000"/>
              </w:rPr>
            </w:pPr>
          </w:p>
        </w:tc>
        <w:tc>
          <w:tcPr>
            <w:tcW w:w="1836" w:type="dxa"/>
            <w:tcBorders>
              <w:top w:val="single" w:sz="4" w:space="0" w:color="auto"/>
              <w:left w:val="nil"/>
              <w:bottom w:val="single" w:sz="4" w:space="0" w:color="auto"/>
              <w:right w:val="nil"/>
            </w:tcBorders>
            <w:vAlign w:val="bottom"/>
          </w:tcPr>
          <w:p w14:paraId="03FF4461" w14:textId="77777777" w:rsidR="00047467" w:rsidRPr="00724D83" w:rsidRDefault="00047467" w:rsidP="0098070F">
            <w:pPr>
              <w:spacing w:after="0" w:line="240" w:lineRule="auto"/>
              <w:jc w:val="center"/>
              <w:rPr>
                <w:rFonts w:ascii="\" w:hAnsi="\"/>
                <w:b/>
                <w:bCs/>
                <w:color w:val="000000"/>
              </w:rPr>
            </w:pPr>
            <w:r w:rsidRPr="00724D83">
              <w:rPr>
                <w:rFonts w:ascii="\" w:hAnsi="\"/>
                <w:b/>
                <w:bCs/>
                <w:color w:val="000000"/>
              </w:rPr>
              <w:t>12 months ended</w:t>
            </w:r>
            <w:r w:rsidRPr="00724D83">
              <w:rPr>
                <w:rFonts w:ascii="\" w:hAnsi="\"/>
                <w:b/>
                <w:bCs/>
                <w:color w:val="000000"/>
              </w:rPr>
              <w:br/>
              <w:t>December 31, 20X1</w:t>
            </w:r>
          </w:p>
        </w:tc>
        <w:tc>
          <w:tcPr>
            <w:tcW w:w="222" w:type="dxa"/>
            <w:tcBorders>
              <w:top w:val="nil"/>
              <w:left w:val="nil"/>
              <w:bottom w:val="nil"/>
              <w:right w:val="nil"/>
            </w:tcBorders>
            <w:noWrap/>
            <w:vAlign w:val="bottom"/>
          </w:tcPr>
          <w:p w14:paraId="03FF4462" w14:textId="77777777" w:rsidR="00047467" w:rsidRPr="00724D83" w:rsidRDefault="00047467" w:rsidP="0098070F">
            <w:pPr>
              <w:spacing w:after="0" w:line="240" w:lineRule="auto"/>
              <w:rPr>
                <w:rFonts w:ascii="\" w:hAnsi="\"/>
                <w:color w:val="000000"/>
              </w:rPr>
            </w:pPr>
          </w:p>
        </w:tc>
        <w:tc>
          <w:tcPr>
            <w:tcW w:w="1752" w:type="dxa"/>
            <w:tcBorders>
              <w:top w:val="single" w:sz="4" w:space="0" w:color="auto"/>
              <w:left w:val="nil"/>
              <w:bottom w:val="single" w:sz="4" w:space="0" w:color="auto"/>
              <w:right w:val="nil"/>
            </w:tcBorders>
            <w:vAlign w:val="bottom"/>
          </w:tcPr>
          <w:p w14:paraId="03FF4463" w14:textId="77777777" w:rsidR="00047467" w:rsidRPr="00724D83" w:rsidRDefault="00047467" w:rsidP="0098070F">
            <w:pPr>
              <w:spacing w:after="0" w:line="240" w:lineRule="auto"/>
              <w:jc w:val="center"/>
              <w:rPr>
                <w:rFonts w:ascii="\" w:hAnsi="\"/>
                <w:b/>
                <w:bCs/>
                <w:color w:val="000000"/>
              </w:rPr>
            </w:pPr>
            <w:r w:rsidRPr="00724D83">
              <w:rPr>
                <w:rFonts w:ascii="\" w:hAnsi="\"/>
                <w:b/>
                <w:bCs/>
                <w:color w:val="000000"/>
              </w:rPr>
              <w:t>12 months ended</w:t>
            </w:r>
            <w:r w:rsidRPr="00724D83">
              <w:rPr>
                <w:rFonts w:ascii="\" w:hAnsi="\"/>
                <w:b/>
                <w:bCs/>
                <w:color w:val="000000"/>
              </w:rPr>
              <w:br/>
              <w:t>December 31, 20XX</w:t>
            </w:r>
          </w:p>
        </w:tc>
      </w:tr>
      <w:tr w:rsidR="00047467" w:rsidRPr="00724D83" w14:paraId="03FF446A" w14:textId="77777777" w:rsidTr="0098070F">
        <w:tc>
          <w:tcPr>
            <w:tcW w:w="5328" w:type="dxa"/>
            <w:tcBorders>
              <w:top w:val="nil"/>
              <w:left w:val="nil"/>
              <w:bottom w:val="nil"/>
              <w:right w:val="nil"/>
            </w:tcBorders>
            <w:noWrap/>
            <w:vAlign w:val="bottom"/>
          </w:tcPr>
          <w:p w14:paraId="03FF4465" w14:textId="77777777" w:rsidR="00047467" w:rsidRPr="00724D83" w:rsidRDefault="00047467" w:rsidP="0098070F">
            <w:pPr>
              <w:spacing w:after="0" w:line="240" w:lineRule="auto"/>
              <w:rPr>
                <w:rFonts w:ascii="\" w:hAnsi="\"/>
                <w:color w:val="000000"/>
              </w:rPr>
            </w:pPr>
            <w:r w:rsidRPr="00724D83">
              <w:rPr>
                <w:rFonts w:ascii="\" w:hAnsi="\"/>
                <w:color w:val="000000"/>
              </w:rPr>
              <w:t>Net liability at opening</w:t>
            </w:r>
          </w:p>
        </w:tc>
        <w:tc>
          <w:tcPr>
            <w:tcW w:w="222" w:type="dxa"/>
            <w:tcBorders>
              <w:top w:val="nil"/>
              <w:left w:val="nil"/>
              <w:bottom w:val="nil"/>
              <w:right w:val="nil"/>
            </w:tcBorders>
            <w:noWrap/>
            <w:vAlign w:val="bottom"/>
          </w:tcPr>
          <w:p w14:paraId="03FF4466"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67"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68"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69" w14:textId="77777777" w:rsidR="00047467" w:rsidRPr="00724D83" w:rsidRDefault="00047467" w:rsidP="0098070F">
            <w:pPr>
              <w:spacing w:after="0" w:line="240" w:lineRule="auto"/>
              <w:rPr>
                <w:rFonts w:ascii="\" w:hAnsi="\"/>
                <w:color w:val="000000"/>
              </w:rPr>
            </w:pPr>
          </w:p>
        </w:tc>
      </w:tr>
      <w:tr w:rsidR="00047467" w:rsidRPr="00724D83" w14:paraId="03FF4470" w14:textId="77777777" w:rsidTr="0098070F">
        <w:tc>
          <w:tcPr>
            <w:tcW w:w="5328" w:type="dxa"/>
            <w:tcBorders>
              <w:top w:val="nil"/>
              <w:left w:val="nil"/>
              <w:bottom w:val="nil"/>
              <w:right w:val="nil"/>
            </w:tcBorders>
            <w:noWrap/>
            <w:vAlign w:val="bottom"/>
          </w:tcPr>
          <w:p w14:paraId="03FF446B" w14:textId="77777777" w:rsidR="00047467" w:rsidRPr="00724D83" w:rsidRDefault="00047467" w:rsidP="0098070F">
            <w:pPr>
              <w:spacing w:after="0" w:line="240" w:lineRule="auto"/>
              <w:rPr>
                <w:rFonts w:ascii="\" w:hAnsi="\"/>
                <w:color w:val="000000"/>
              </w:rPr>
            </w:pPr>
            <w:r w:rsidRPr="00724D83">
              <w:rPr>
                <w:rFonts w:ascii="\" w:hAnsi="\"/>
                <w:color w:val="000000"/>
              </w:rPr>
              <w:t>Expense as above</w:t>
            </w:r>
          </w:p>
        </w:tc>
        <w:tc>
          <w:tcPr>
            <w:tcW w:w="222" w:type="dxa"/>
            <w:tcBorders>
              <w:top w:val="nil"/>
              <w:left w:val="nil"/>
              <w:bottom w:val="nil"/>
              <w:right w:val="nil"/>
            </w:tcBorders>
            <w:noWrap/>
            <w:vAlign w:val="bottom"/>
          </w:tcPr>
          <w:p w14:paraId="03FF446C"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6D"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6E"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6F" w14:textId="77777777" w:rsidR="00047467" w:rsidRPr="00724D83" w:rsidRDefault="00047467" w:rsidP="0098070F">
            <w:pPr>
              <w:spacing w:after="0" w:line="240" w:lineRule="auto"/>
              <w:rPr>
                <w:rFonts w:ascii="\" w:hAnsi="\"/>
                <w:color w:val="000000"/>
              </w:rPr>
            </w:pPr>
          </w:p>
        </w:tc>
      </w:tr>
      <w:tr w:rsidR="00047467" w:rsidRPr="00724D83" w14:paraId="03FF4476" w14:textId="77777777" w:rsidTr="0098070F">
        <w:tc>
          <w:tcPr>
            <w:tcW w:w="5328" w:type="dxa"/>
            <w:tcBorders>
              <w:top w:val="nil"/>
              <w:left w:val="nil"/>
              <w:bottom w:val="nil"/>
              <w:right w:val="nil"/>
            </w:tcBorders>
            <w:noWrap/>
            <w:vAlign w:val="bottom"/>
          </w:tcPr>
          <w:p w14:paraId="03FF4471" w14:textId="77777777" w:rsidR="00047467" w:rsidRPr="00724D83" w:rsidRDefault="00047467" w:rsidP="0098070F">
            <w:pPr>
              <w:spacing w:after="0" w:line="240" w:lineRule="auto"/>
              <w:rPr>
                <w:rFonts w:ascii="\" w:hAnsi="\"/>
                <w:color w:val="000000"/>
              </w:rPr>
            </w:pPr>
            <w:r w:rsidRPr="00724D83">
              <w:rPr>
                <w:rFonts w:ascii="\" w:hAnsi="\"/>
                <w:color w:val="000000"/>
              </w:rPr>
              <w:t>Benefits paid directly</w:t>
            </w:r>
          </w:p>
        </w:tc>
        <w:tc>
          <w:tcPr>
            <w:tcW w:w="222" w:type="dxa"/>
            <w:tcBorders>
              <w:top w:val="nil"/>
              <w:left w:val="nil"/>
              <w:bottom w:val="nil"/>
              <w:right w:val="nil"/>
            </w:tcBorders>
            <w:noWrap/>
            <w:vAlign w:val="bottom"/>
          </w:tcPr>
          <w:p w14:paraId="03FF4472"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73"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74"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75" w14:textId="77777777" w:rsidR="00047467" w:rsidRPr="00724D83" w:rsidRDefault="00047467" w:rsidP="0098070F">
            <w:pPr>
              <w:spacing w:after="0" w:line="240" w:lineRule="auto"/>
              <w:rPr>
                <w:rFonts w:ascii="\" w:hAnsi="\"/>
                <w:color w:val="000000"/>
              </w:rPr>
            </w:pPr>
          </w:p>
        </w:tc>
      </w:tr>
      <w:tr w:rsidR="00047467" w:rsidRPr="00724D83" w14:paraId="03FF447C" w14:textId="77777777" w:rsidTr="0098070F">
        <w:tc>
          <w:tcPr>
            <w:tcW w:w="5328" w:type="dxa"/>
            <w:tcBorders>
              <w:top w:val="nil"/>
              <w:left w:val="nil"/>
              <w:bottom w:val="nil"/>
              <w:right w:val="nil"/>
            </w:tcBorders>
            <w:noWrap/>
            <w:vAlign w:val="bottom"/>
          </w:tcPr>
          <w:p w14:paraId="03FF4477" w14:textId="77777777" w:rsidR="00047467" w:rsidRPr="00724D83" w:rsidRDefault="00047467" w:rsidP="0098070F">
            <w:pPr>
              <w:spacing w:after="0" w:line="240" w:lineRule="auto"/>
              <w:rPr>
                <w:rFonts w:ascii="\" w:hAnsi="\"/>
                <w:color w:val="000000"/>
              </w:rPr>
            </w:pPr>
            <w:r w:rsidRPr="00724D83">
              <w:rPr>
                <w:rFonts w:ascii="\" w:hAnsi="\"/>
                <w:color w:val="000000"/>
              </w:rPr>
              <w:t>Employer’s contributions</w:t>
            </w:r>
          </w:p>
        </w:tc>
        <w:tc>
          <w:tcPr>
            <w:tcW w:w="222" w:type="dxa"/>
            <w:tcBorders>
              <w:top w:val="nil"/>
              <w:left w:val="nil"/>
              <w:bottom w:val="nil"/>
              <w:right w:val="nil"/>
            </w:tcBorders>
            <w:noWrap/>
            <w:vAlign w:val="bottom"/>
          </w:tcPr>
          <w:p w14:paraId="03FF4478"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79"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7A"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7B" w14:textId="77777777" w:rsidR="00047467" w:rsidRPr="00724D83" w:rsidRDefault="00047467" w:rsidP="0098070F">
            <w:pPr>
              <w:spacing w:after="0" w:line="240" w:lineRule="auto"/>
              <w:rPr>
                <w:rFonts w:ascii="\" w:hAnsi="\"/>
                <w:color w:val="000000"/>
              </w:rPr>
            </w:pPr>
          </w:p>
        </w:tc>
      </w:tr>
      <w:tr w:rsidR="00047467" w:rsidRPr="00724D83" w14:paraId="03FF4482" w14:textId="77777777" w:rsidTr="0098070F">
        <w:tc>
          <w:tcPr>
            <w:tcW w:w="5328" w:type="dxa"/>
            <w:tcBorders>
              <w:top w:val="nil"/>
              <w:left w:val="nil"/>
              <w:bottom w:val="nil"/>
              <w:right w:val="nil"/>
            </w:tcBorders>
            <w:noWrap/>
            <w:vAlign w:val="bottom"/>
          </w:tcPr>
          <w:p w14:paraId="03FF447D" w14:textId="77777777" w:rsidR="00047467" w:rsidRPr="00724D83" w:rsidRDefault="00047467" w:rsidP="0098070F">
            <w:pPr>
              <w:spacing w:after="0" w:line="240" w:lineRule="auto"/>
              <w:rPr>
                <w:rFonts w:ascii="\" w:hAnsi="\"/>
                <w:color w:val="000000"/>
              </w:rPr>
            </w:pPr>
            <w:r w:rsidRPr="00724D83">
              <w:rPr>
                <w:rFonts w:ascii="\" w:hAnsi="\"/>
                <w:color w:val="000000"/>
              </w:rPr>
              <w:t>Business combinations</w:t>
            </w:r>
          </w:p>
        </w:tc>
        <w:tc>
          <w:tcPr>
            <w:tcW w:w="222" w:type="dxa"/>
            <w:tcBorders>
              <w:top w:val="nil"/>
              <w:left w:val="nil"/>
              <w:bottom w:val="nil"/>
              <w:right w:val="nil"/>
            </w:tcBorders>
            <w:noWrap/>
            <w:vAlign w:val="bottom"/>
          </w:tcPr>
          <w:p w14:paraId="03FF447E"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7F"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80"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81" w14:textId="77777777" w:rsidR="00047467" w:rsidRPr="00724D83" w:rsidRDefault="00047467" w:rsidP="0098070F">
            <w:pPr>
              <w:spacing w:after="0" w:line="240" w:lineRule="auto"/>
              <w:rPr>
                <w:rFonts w:ascii="\" w:hAnsi="\"/>
                <w:color w:val="000000"/>
              </w:rPr>
            </w:pPr>
          </w:p>
        </w:tc>
      </w:tr>
      <w:tr w:rsidR="00047467" w:rsidRPr="00724D83" w14:paraId="03FF4488" w14:textId="77777777" w:rsidTr="0098070F">
        <w:tc>
          <w:tcPr>
            <w:tcW w:w="5328" w:type="dxa"/>
            <w:tcBorders>
              <w:top w:val="nil"/>
              <w:left w:val="nil"/>
              <w:bottom w:val="nil"/>
              <w:right w:val="nil"/>
            </w:tcBorders>
            <w:noWrap/>
            <w:vAlign w:val="bottom"/>
          </w:tcPr>
          <w:p w14:paraId="03FF4483" w14:textId="77777777" w:rsidR="00047467" w:rsidRPr="00724D83" w:rsidRDefault="00047467" w:rsidP="0098070F">
            <w:pPr>
              <w:spacing w:after="0" w:line="240" w:lineRule="auto"/>
              <w:ind w:left="245" w:hanging="245"/>
              <w:rPr>
                <w:rFonts w:ascii="\" w:hAnsi="\"/>
                <w:color w:val="000000"/>
              </w:rPr>
            </w:pPr>
            <w:r w:rsidRPr="00724D83">
              <w:rPr>
                <w:rFonts w:ascii="\" w:hAnsi="\"/>
                <w:color w:val="000000"/>
              </w:rPr>
              <w:t>Movement in SoRIE (statement of recognized income and expense)</w:t>
            </w:r>
          </w:p>
        </w:tc>
        <w:tc>
          <w:tcPr>
            <w:tcW w:w="222" w:type="dxa"/>
            <w:tcBorders>
              <w:top w:val="nil"/>
              <w:left w:val="nil"/>
              <w:bottom w:val="nil"/>
              <w:right w:val="nil"/>
            </w:tcBorders>
            <w:noWrap/>
            <w:vAlign w:val="bottom"/>
          </w:tcPr>
          <w:p w14:paraId="03FF4484"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85" w14:textId="77777777" w:rsidR="00047467" w:rsidRPr="00724D83" w:rsidRDefault="00047467" w:rsidP="0098070F">
            <w:pPr>
              <w:spacing w:after="0" w:line="240" w:lineRule="auto"/>
              <w:rPr>
                <w:rFonts w:ascii="\" w:hAnsi="\"/>
                <w:color w:val="000000"/>
              </w:rPr>
            </w:pPr>
          </w:p>
        </w:tc>
        <w:tc>
          <w:tcPr>
            <w:tcW w:w="222" w:type="dxa"/>
            <w:tcBorders>
              <w:top w:val="nil"/>
              <w:left w:val="nil"/>
              <w:bottom w:val="nil"/>
              <w:right w:val="nil"/>
            </w:tcBorders>
            <w:noWrap/>
            <w:vAlign w:val="bottom"/>
          </w:tcPr>
          <w:p w14:paraId="03FF4486"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87" w14:textId="77777777" w:rsidR="00047467" w:rsidRPr="00724D83" w:rsidRDefault="00047467" w:rsidP="0098070F">
            <w:pPr>
              <w:spacing w:after="0" w:line="240" w:lineRule="auto"/>
              <w:rPr>
                <w:rFonts w:ascii="\" w:hAnsi="\"/>
                <w:color w:val="000000"/>
              </w:rPr>
            </w:pPr>
          </w:p>
        </w:tc>
      </w:tr>
      <w:tr w:rsidR="00047467" w:rsidRPr="00724D83" w14:paraId="03FF448E" w14:textId="77777777" w:rsidTr="0098070F">
        <w:tc>
          <w:tcPr>
            <w:tcW w:w="5328" w:type="dxa"/>
            <w:tcBorders>
              <w:top w:val="nil"/>
              <w:left w:val="nil"/>
              <w:bottom w:val="nil"/>
              <w:right w:val="nil"/>
            </w:tcBorders>
            <w:noWrap/>
            <w:vAlign w:val="bottom"/>
          </w:tcPr>
          <w:p w14:paraId="03FF4489" w14:textId="77777777" w:rsidR="00047467" w:rsidRPr="00724D83" w:rsidRDefault="00047467" w:rsidP="0098070F">
            <w:pPr>
              <w:spacing w:after="0" w:line="240" w:lineRule="auto"/>
              <w:rPr>
                <w:rFonts w:ascii="\" w:hAnsi="\"/>
                <w:b/>
                <w:bCs/>
                <w:color w:val="000000"/>
              </w:rPr>
            </w:pPr>
            <w:r w:rsidRPr="00724D83">
              <w:rPr>
                <w:rFonts w:ascii="\" w:hAnsi="\"/>
                <w:b/>
                <w:bCs/>
                <w:color w:val="000000"/>
              </w:rPr>
              <w:t>Net liability at closing</w:t>
            </w:r>
          </w:p>
        </w:tc>
        <w:tc>
          <w:tcPr>
            <w:tcW w:w="222" w:type="dxa"/>
            <w:tcBorders>
              <w:top w:val="nil"/>
              <w:left w:val="nil"/>
              <w:bottom w:val="nil"/>
              <w:right w:val="nil"/>
            </w:tcBorders>
            <w:noWrap/>
            <w:vAlign w:val="bottom"/>
          </w:tcPr>
          <w:p w14:paraId="03FF448A" w14:textId="77777777" w:rsidR="00047467" w:rsidRPr="00724D83" w:rsidRDefault="00047467" w:rsidP="0098070F">
            <w:pPr>
              <w:spacing w:after="0" w:line="240" w:lineRule="auto"/>
              <w:rPr>
                <w:rFonts w:ascii="\" w:hAnsi="\"/>
                <w:color w:val="000000"/>
              </w:rPr>
            </w:pPr>
          </w:p>
        </w:tc>
        <w:tc>
          <w:tcPr>
            <w:tcW w:w="1836" w:type="dxa"/>
            <w:tcBorders>
              <w:top w:val="single" w:sz="4" w:space="0" w:color="auto"/>
              <w:left w:val="nil"/>
              <w:bottom w:val="double" w:sz="6" w:space="0" w:color="auto"/>
              <w:right w:val="nil"/>
            </w:tcBorders>
            <w:noWrap/>
            <w:vAlign w:val="bottom"/>
          </w:tcPr>
          <w:p w14:paraId="03FF448B" w14:textId="77777777" w:rsidR="00047467" w:rsidRPr="00724D83" w:rsidRDefault="00047467" w:rsidP="0098070F">
            <w:pPr>
              <w:spacing w:after="0" w:line="240" w:lineRule="auto"/>
              <w:rPr>
                <w:rFonts w:ascii="\" w:hAnsi="\"/>
                <w:color w:val="000000"/>
              </w:rPr>
            </w:pPr>
            <w:r w:rsidRPr="00724D83">
              <w:rPr>
                <w:rFonts w:ascii="\" w:hAnsi="\"/>
                <w:color w:val="000000"/>
              </w:rPr>
              <w:t> </w:t>
            </w:r>
          </w:p>
        </w:tc>
        <w:tc>
          <w:tcPr>
            <w:tcW w:w="222" w:type="dxa"/>
            <w:tcBorders>
              <w:top w:val="nil"/>
              <w:left w:val="nil"/>
              <w:bottom w:val="nil"/>
              <w:right w:val="nil"/>
            </w:tcBorders>
            <w:noWrap/>
            <w:vAlign w:val="bottom"/>
          </w:tcPr>
          <w:p w14:paraId="03FF448C" w14:textId="77777777" w:rsidR="00047467" w:rsidRPr="00724D83" w:rsidRDefault="00047467" w:rsidP="0098070F">
            <w:pPr>
              <w:spacing w:after="0" w:line="240" w:lineRule="auto"/>
              <w:rPr>
                <w:rFonts w:ascii="\" w:hAnsi="\"/>
                <w:color w:val="000000"/>
              </w:rPr>
            </w:pPr>
          </w:p>
        </w:tc>
        <w:tc>
          <w:tcPr>
            <w:tcW w:w="1752" w:type="dxa"/>
            <w:tcBorders>
              <w:top w:val="single" w:sz="4" w:space="0" w:color="auto"/>
              <w:left w:val="nil"/>
              <w:bottom w:val="double" w:sz="6" w:space="0" w:color="auto"/>
              <w:right w:val="nil"/>
            </w:tcBorders>
            <w:noWrap/>
            <w:vAlign w:val="bottom"/>
          </w:tcPr>
          <w:p w14:paraId="03FF448D" w14:textId="77777777" w:rsidR="00047467" w:rsidRPr="00724D83" w:rsidRDefault="00047467" w:rsidP="0098070F">
            <w:pPr>
              <w:spacing w:after="0" w:line="240" w:lineRule="auto"/>
              <w:rPr>
                <w:rFonts w:ascii="\" w:hAnsi="\"/>
                <w:color w:val="000000"/>
              </w:rPr>
            </w:pPr>
            <w:r w:rsidRPr="00724D83">
              <w:rPr>
                <w:rFonts w:ascii="\" w:hAnsi="\"/>
                <w:color w:val="000000"/>
              </w:rPr>
              <w:t> </w:t>
            </w:r>
          </w:p>
        </w:tc>
      </w:tr>
    </w:tbl>
    <w:p w14:paraId="03FF448F" w14:textId="77777777" w:rsidR="00047467" w:rsidRPr="00724D83" w:rsidRDefault="00047467" w:rsidP="002F3690">
      <w:pPr>
        <w:pStyle w:val="Text1"/>
      </w:pPr>
    </w:p>
    <w:tbl>
      <w:tblPr>
        <w:tblW w:w="5016" w:type="pct"/>
        <w:tblLook w:val="00A0" w:firstRow="1" w:lastRow="0" w:firstColumn="1" w:lastColumn="0" w:noHBand="0" w:noVBand="0"/>
      </w:tblPr>
      <w:tblGrid>
        <w:gridCol w:w="5330"/>
        <w:gridCol w:w="236"/>
        <w:gridCol w:w="1836"/>
        <w:gridCol w:w="236"/>
        <w:gridCol w:w="1753"/>
      </w:tblGrid>
      <w:tr w:rsidR="00047467" w:rsidRPr="00724D83" w14:paraId="03FF4495" w14:textId="77777777" w:rsidTr="0098070F">
        <w:tc>
          <w:tcPr>
            <w:tcW w:w="5328" w:type="dxa"/>
            <w:tcBorders>
              <w:top w:val="nil"/>
              <w:left w:val="nil"/>
              <w:bottom w:val="nil"/>
              <w:right w:val="nil"/>
            </w:tcBorders>
            <w:noWrap/>
            <w:vAlign w:val="bottom"/>
          </w:tcPr>
          <w:p w14:paraId="03FF4490" w14:textId="77777777" w:rsidR="00047467" w:rsidRPr="00724D83" w:rsidRDefault="00047467" w:rsidP="0098070F">
            <w:pPr>
              <w:pageBreakBefore/>
              <w:spacing w:after="0" w:line="240" w:lineRule="auto"/>
              <w:rPr>
                <w:rFonts w:ascii="\" w:hAnsi="\"/>
                <w:b/>
                <w:bCs/>
                <w:color w:val="000000"/>
              </w:rPr>
            </w:pPr>
            <w:r w:rsidRPr="00724D83">
              <w:rPr>
                <w:rFonts w:ascii="\" w:hAnsi="\"/>
                <w:b/>
                <w:bCs/>
                <w:color w:val="000000"/>
              </w:rPr>
              <w:lastRenderedPageBreak/>
              <w:t>Amounts included in total recognized income and expense</w:t>
            </w:r>
          </w:p>
        </w:tc>
        <w:tc>
          <w:tcPr>
            <w:tcW w:w="236" w:type="dxa"/>
            <w:tcBorders>
              <w:top w:val="nil"/>
              <w:left w:val="nil"/>
              <w:bottom w:val="nil"/>
              <w:right w:val="nil"/>
            </w:tcBorders>
            <w:noWrap/>
            <w:vAlign w:val="bottom"/>
          </w:tcPr>
          <w:p w14:paraId="03FF4491" w14:textId="77777777" w:rsidR="00047467" w:rsidRPr="00724D83" w:rsidRDefault="00047467" w:rsidP="0098070F">
            <w:pPr>
              <w:pageBreakBefore/>
              <w:spacing w:after="0" w:line="240" w:lineRule="auto"/>
              <w:rPr>
                <w:rFonts w:ascii="\" w:hAnsi="\"/>
                <w:color w:val="000000"/>
              </w:rPr>
            </w:pPr>
          </w:p>
        </w:tc>
        <w:tc>
          <w:tcPr>
            <w:tcW w:w="1836" w:type="dxa"/>
            <w:tcBorders>
              <w:top w:val="single" w:sz="4" w:space="0" w:color="auto"/>
              <w:left w:val="nil"/>
              <w:bottom w:val="single" w:sz="4" w:space="0" w:color="auto"/>
              <w:right w:val="nil"/>
            </w:tcBorders>
            <w:noWrap/>
            <w:vAlign w:val="bottom"/>
          </w:tcPr>
          <w:p w14:paraId="03FF4492" w14:textId="77777777" w:rsidR="00047467" w:rsidRPr="00724D83" w:rsidRDefault="00047467" w:rsidP="0098070F">
            <w:pPr>
              <w:pageBreakBefore/>
              <w:spacing w:after="0" w:line="240" w:lineRule="auto"/>
              <w:jc w:val="center"/>
              <w:rPr>
                <w:rFonts w:ascii="\" w:hAnsi="\"/>
                <w:b/>
                <w:bCs/>
                <w:color w:val="000000"/>
              </w:rPr>
            </w:pPr>
            <w:r w:rsidRPr="00724D83">
              <w:rPr>
                <w:rFonts w:ascii="\" w:hAnsi="\"/>
                <w:b/>
                <w:bCs/>
                <w:color w:val="000000"/>
              </w:rPr>
              <w:t>20X1</w:t>
            </w:r>
          </w:p>
        </w:tc>
        <w:tc>
          <w:tcPr>
            <w:tcW w:w="236" w:type="dxa"/>
            <w:tcBorders>
              <w:top w:val="nil"/>
              <w:left w:val="nil"/>
              <w:bottom w:val="nil"/>
              <w:right w:val="nil"/>
            </w:tcBorders>
            <w:noWrap/>
            <w:vAlign w:val="bottom"/>
          </w:tcPr>
          <w:p w14:paraId="03FF4493" w14:textId="77777777" w:rsidR="00047467" w:rsidRPr="00724D83" w:rsidRDefault="00047467" w:rsidP="0098070F">
            <w:pPr>
              <w:pageBreakBefore/>
              <w:spacing w:after="0" w:line="240" w:lineRule="auto"/>
              <w:jc w:val="center"/>
              <w:rPr>
                <w:rFonts w:ascii="\" w:hAnsi="\"/>
                <w:color w:val="000000"/>
              </w:rPr>
            </w:pPr>
          </w:p>
        </w:tc>
        <w:tc>
          <w:tcPr>
            <w:tcW w:w="1752" w:type="dxa"/>
            <w:tcBorders>
              <w:top w:val="single" w:sz="4" w:space="0" w:color="auto"/>
              <w:left w:val="nil"/>
              <w:bottom w:val="single" w:sz="4" w:space="0" w:color="auto"/>
              <w:right w:val="nil"/>
            </w:tcBorders>
            <w:noWrap/>
            <w:vAlign w:val="bottom"/>
          </w:tcPr>
          <w:p w14:paraId="03FF4494" w14:textId="77777777" w:rsidR="00047467" w:rsidRPr="00724D83" w:rsidRDefault="00047467" w:rsidP="0098070F">
            <w:pPr>
              <w:pageBreakBefore/>
              <w:spacing w:after="0" w:line="240" w:lineRule="auto"/>
              <w:jc w:val="center"/>
              <w:rPr>
                <w:rFonts w:ascii="\" w:hAnsi="\"/>
                <w:b/>
                <w:bCs/>
                <w:color w:val="000000"/>
              </w:rPr>
            </w:pPr>
            <w:r w:rsidRPr="00724D83">
              <w:rPr>
                <w:rFonts w:ascii="\" w:hAnsi="\"/>
                <w:b/>
                <w:bCs/>
                <w:color w:val="000000"/>
              </w:rPr>
              <w:t>20XX</w:t>
            </w:r>
          </w:p>
        </w:tc>
      </w:tr>
      <w:tr w:rsidR="00047467" w:rsidRPr="00724D83" w14:paraId="03FF449B" w14:textId="77777777" w:rsidTr="0098070F">
        <w:tc>
          <w:tcPr>
            <w:tcW w:w="5328" w:type="dxa"/>
            <w:tcBorders>
              <w:top w:val="nil"/>
              <w:left w:val="nil"/>
              <w:bottom w:val="nil"/>
              <w:right w:val="nil"/>
            </w:tcBorders>
            <w:noWrap/>
            <w:vAlign w:val="bottom"/>
          </w:tcPr>
          <w:p w14:paraId="03FF4496" w14:textId="77777777" w:rsidR="00047467" w:rsidRPr="00724D83" w:rsidRDefault="00047467" w:rsidP="0098070F">
            <w:pPr>
              <w:spacing w:after="0" w:line="240" w:lineRule="auto"/>
              <w:rPr>
                <w:rFonts w:ascii="\" w:hAnsi="\"/>
                <w:color w:val="000000"/>
              </w:rPr>
            </w:pPr>
            <w:r w:rsidRPr="00724D83">
              <w:rPr>
                <w:rFonts w:ascii="\" w:hAnsi="\"/>
                <w:color w:val="000000"/>
              </w:rPr>
              <w:t>Cumulative amount at January, 1</w:t>
            </w:r>
          </w:p>
        </w:tc>
        <w:tc>
          <w:tcPr>
            <w:tcW w:w="236" w:type="dxa"/>
            <w:tcBorders>
              <w:top w:val="nil"/>
              <w:left w:val="nil"/>
              <w:bottom w:val="nil"/>
              <w:right w:val="nil"/>
            </w:tcBorders>
            <w:noWrap/>
            <w:vAlign w:val="bottom"/>
          </w:tcPr>
          <w:p w14:paraId="03FF4497"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98" w14:textId="77777777" w:rsidR="00047467" w:rsidRPr="00724D83" w:rsidRDefault="00047467" w:rsidP="0098070F">
            <w:pPr>
              <w:spacing w:after="0" w:line="240" w:lineRule="auto"/>
              <w:rPr>
                <w:rFonts w:ascii="\" w:hAnsi="\"/>
                <w:color w:val="000000"/>
              </w:rPr>
            </w:pPr>
          </w:p>
        </w:tc>
        <w:tc>
          <w:tcPr>
            <w:tcW w:w="236" w:type="dxa"/>
            <w:tcBorders>
              <w:top w:val="nil"/>
              <w:left w:val="nil"/>
              <w:bottom w:val="nil"/>
              <w:right w:val="nil"/>
            </w:tcBorders>
            <w:noWrap/>
            <w:vAlign w:val="bottom"/>
          </w:tcPr>
          <w:p w14:paraId="03FF4499"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9A" w14:textId="77777777" w:rsidR="00047467" w:rsidRPr="00724D83" w:rsidRDefault="00047467" w:rsidP="0098070F">
            <w:pPr>
              <w:spacing w:after="0" w:line="240" w:lineRule="auto"/>
              <w:rPr>
                <w:rFonts w:ascii="\" w:hAnsi="\"/>
                <w:color w:val="000000"/>
              </w:rPr>
            </w:pPr>
          </w:p>
        </w:tc>
      </w:tr>
      <w:tr w:rsidR="00047467" w:rsidRPr="00724D83" w14:paraId="03FF44A1" w14:textId="77777777" w:rsidTr="0098070F">
        <w:tc>
          <w:tcPr>
            <w:tcW w:w="5328" w:type="dxa"/>
            <w:tcBorders>
              <w:top w:val="nil"/>
              <w:left w:val="nil"/>
              <w:bottom w:val="nil"/>
              <w:right w:val="nil"/>
            </w:tcBorders>
            <w:noWrap/>
            <w:vAlign w:val="bottom"/>
          </w:tcPr>
          <w:p w14:paraId="03FF449C" w14:textId="77777777" w:rsidR="00047467" w:rsidRPr="00724D83" w:rsidRDefault="00047467" w:rsidP="0098070F">
            <w:pPr>
              <w:spacing w:after="0" w:line="240" w:lineRule="auto"/>
              <w:rPr>
                <w:rFonts w:ascii="\" w:hAnsi="\"/>
                <w:color w:val="000000"/>
              </w:rPr>
            </w:pPr>
            <w:r w:rsidRPr="00724D83">
              <w:rPr>
                <w:rFonts w:ascii="\" w:hAnsi="\"/>
                <w:color w:val="000000"/>
              </w:rPr>
              <w:t>Actuarial gains and losses in the period</w:t>
            </w:r>
          </w:p>
        </w:tc>
        <w:tc>
          <w:tcPr>
            <w:tcW w:w="236" w:type="dxa"/>
            <w:tcBorders>
              <w:top w:val="nil"/>
              <w:left w:val="nil"/>
              <w:bottom w:val="nil"/>
              <w:right w:val="nil"/>
            </w:tcBorders>
            <w:noWrap/>
            <w:vAlign w:val="bottom"/>
          </w:tcPr>
          <w:p w14:paraId="03FF449D" w14:textId="77777777" w:rsidR="00047467" w:rsidRPr="00724D83" w:rsidRDefault="00047467" w:rsidP="0098070F">
            <w:pPr>
              <w:spacing w:after="0" w:line="240" w:lineRule="auto"/>
              <w:rPr>
                <w:rFonts w:ascii="\" w:hAnsi="\"/>
                <w:color w:val="000000"/>
              </w:rPr>
            </w:pPr>
          </w:p>
        </w:tc>
        <w:tc>
          <w:tcPr>
            <w:tcW w:w="1836" w:type="dxa"/>
            <w:tcBorders>
              <w:top w:val="nil"/>
              <w:left w:val="nil"/>
              <w:bottom w:val="nil"/>
              <w:right w:val="nil"/>
            </w:tcBorders>
            <w:noWrap/>
            <w:vAlign w:val="bottom"/>
          </w:tcPr>
          <w:p w14:paraId="03FF449E" w14:textId="77777777" w:rsidR="00047467" w:rsidRPr="00724D83" w:rsidRDefault="00047467" w:rsidP="0098070F">
            <w:pPr>
              <w:spacing w:after="0" w:line="240" w:lineRule="auto"/>
              <w:rPr>
                <w:rFonts w:ascii="\" w:hAnsi="\"/>
                <w:color w:val="000000"/>
              </w:rPr>
            </w:pPr>
          </w:p>
        </w:tc>
        <w:tc>
          <w:tcPr>
            <w:tcW w:w="236" w:type="dxa"/>
            <w:tcBorders>
              <w:top w:val="nil"/>
              <w:left w:val="nil"/>
              <w:bottom w:val="nil"/>
              <w:right w:val="nil"/>
            </w:tcBorders>
            <w:noWrap/>
            <w:vAlign w:val="bottom"/>
          </w:tcPr>
          <w:p w14:paraId="03FF449F" w14:textId="77777777" w:rsidR="00047467" w:rsidRPr="00724D83" w:rsidRDefault="00047467" w:rsidP="0098070F">
            <w:pPr>
              <w:spacing w:after="0" w:line="240" w:lineRule="auto"/>
              <w:rPr>
                <w:rFonts w:ascii="\" w:hAnsi="\"/>
                <w:color w:val="000000"/>
              </w:rPr>
            </w:pPr>
          </w:p>
        </w:tc>
        <w:tc>
          <w:tcPr>
            <w:tcW w:w="1752" w:type="dxa"/>
            <w:tcBorders>
              <w:top w:val="nil"/>
              <w:left w:val="nil"/>
              <w:bottom w:val="nil"/>
              <w:right w:val="nil"/>
            </w:tcBorders>
            <w:noWrap/>
            <w:vAlign w:val="bottom"/>
          </w:tcPr>
          <w:p w14:paraId="03FF44A0" w14:textId="77777777" w:rsidR="00047467" w:rsidRPr="00724D83" w:rsidRDefault="00047467" w:rsidP="0098070F">
            <w:pPr>
              <w:spacing w:after="0" w:line="240" w:lineRule="auto"/>
              <w:rPr>
                <w:rFonts w:ascii="\" w:hAnsi="\"/>
                <w:color w:val="000000"/>
              </w:rPr>
            </w:pPr>
          </w:p>
        </w:tc>
      </w:tr>
      <w:tr w:rsidR="00047467" w:rsidRPr="00724D83" w14:paraId="03FF44A7" w14:textId="77777777" w:rsidTr="0098070F">
        <w:tc>
          <w:tcPr>
            <w:tcW w:w="5328" w:type="dxa"/>
            <w:tcBorders>
              <w:top w:val="nil"/>
              <w:left w:val="nil"/>
              <w:bottom w:val="nil"/>
              <w:right w:val="nil"/>
            </w:tcBorders>
            <w:noWrap/>
            <w:vAlign w:val="bottom"/>
          </w:tcPr>
          <w:p w14:paraId="03FF44A2" w14:textId="77777777" w:rsidR="00047467" w:rsidRPr="00724D83" w:rsidRDefault="00047467" w:rsidP="0098070F">
            <w:pPr>
              <w:spacing w:after="0" w:line="240" w:lineRule="auto"/>
              <w:rPr>
                <w:rFonts w:ascii="\" w:hAnsi="\"/>
                <w:color w:val="000000"/>
              </w:rPr>
            </w:pPr>
            <w:r w:rsidRPr="00724D83">
              <w:rPr>
                <w:rFonts w:ascii="\" w:hAnsi="\"/>
                <w:color w:val="000000"/>
              </w:rPr>
              <w:t>Cumulative amount at December, 31</w:t>
            </w:r>
          </w:p>
        </w:tc>
        <w:tc>
          <w:tcPr>
            <w:tcW w:w="236" w:type="dxa"/>
            <w:tcBorders>
              <w:top w:val="nil"/>
              <w:left w:val="nil"/>
              <w:bottom w:val="nil"/>
              <w:right w:val="nil"/>
            </w:tcBorders>
            <w:noWrap/>
            <w:vAlign w:val="bottom"/>
          </w:tcPr>
          <w:p w14:paraId="03FF44A3" w14:textId="77777777" w:rsidR="00047467" w:rsidRPr="00724D83" w:rsidRDefault="00047467" w:rsidP="0098070F">
            <w:pPr>
              <w:spacing w:after="0" w:line="240" w:lineRule="auto"/>
              <w:rPr>
                <w:rFonts w:ascii="\" w:hAnsi="\"/>
                <w:color w:val="000000"/>
              </w:rPr>
            </w:pPr>
          </w:p>
        </w:tc>
        <w:tc>
          <w:tcPr>
            <w:tcW w:w="1836" w:type="dxa"/>
            <w:tcBorders>
              <w:top w:val="single" w:sz="4" w:space="0" w:color="auto"/>
              <w:left w:val="nil"/>
              <w:bottom w:val="double" w:sz="6" w:space="0" w:color="auto"/>
              <w:right w:val="nil"/>
            </w:tcBorders>
            <w:noWrap/>
            <w:vAlign w:val="bottom"/>
          </w:tcPr>
          <w:p w14:paraId="03FF44A4" w14:textId="77777777" w:rsidR="00047467" w:rsidRPr="00724D83" w:rsidRDefault="00047467" w:rsidP="0098070F">
            <w:pPr>
              <w:spacing w:after="0" w:line="240" w:lineRule="auto"/>
              <w:rPr>
                <w:rFonts w:ascii="\" w:hAnsi="\"/>
                <w:color w:val="000000"/>
              </w:rPr>
            </w:pPr>
            <w:r w:rsidRPr="00724D83">
              <w:rPr>
                <w:rFonts w:ascii="\" w:hAnsi="\"/>
                <w:color w:val="000000"/>
              </w:rPr>
              <w:t> </w:t>
            </w:r>
          </w:p>
        </w:tc>
        <w:tc>
          <w:tcPr>
            <w:tcW w:w="236" w:type="dxa"/>
            <w:tcBorders>
              <w:top w:val="nil"/>
              <w:left w:val="nil"/>
              <w:bottom w:val="nil"/>
              <w:right w:val="nil"/>
            </w:tcBorders>
            <w:noWrap/>
            <w:vAlign w:val="bottom"/>
          </w:tcPr>
          <w:p w14:paraId="03FF44A5" w14:textId="77777777" w:rsidR="00047467" w:rsidRPr="00724D83" w:rsidRDefault="00047467" w:rsidP="0098070F">
            <w:pPr>
              <w:spacing w:after="0" w:line="240" w:lineRule="auto"/>
              <w:rPr>
                <w:rFonts w:ascii="\" w:hAnsi="\"/>
                <w:color w:val="000000"/>
              </w:rPr>
            </w:pPr>
          </w:p>
        </w:tc>
        <w:tc>
          <w:tcPr>
            <w:tcW w:w="1752" w:type="dxa"/>
            <w:tcBorders>
              <w:top w:val="single" w:sz="4" w:space="0" w:color="auto"/>
              <w:left w:val="nil"/>
              <w:bottom w:val="double" w:sz="6" w:space="0" w:color="auto"/>
              <w:right w:val="nil"/>
            </w:tcBorders>
            <w:noWrap/>
            <w:vAlign w:val="bottom"/>
          </w:tcPr>
          <w:p w14:paraId="03FF44A6" w14:textId="77777777" w:rsidR="00047467" w:rsidRPr="00724D83" w:rsidRDefault="00047467" w:rsidP="0098070F">
            <w:pPr>
              <w:spacing w:after="0" w:line="240" w:lineRule="auto"/>
              <w:rPr>
                <w:rFonts w:ascii="\" w:hAnsi="\"/>
                <w:color w:val="000000"/>
              </w:rPr>
            </w:pPr>
            <w:r w:rsidRPr="00724D83">
              <w:rPr>
                <w:rFonts w:ascii="\" w:hAnsi="\"/>
                <w:color w:val="000000"/>
              </w:rPr>
              <w:t> </w:t>
            </w:r>
          </w:p>
        </w:tc>
      </w:tr>
      <w:tr w:rsidR="00047467" w:rsidRPr="00724D83" w14:paraId="03FF44AD" w14:textId="77777777" w:rsidTr="0098070F">
        <w:tc>
          <w:tcPr>
            <w:tcW w:w="5328" w:type="dxa"/>
            <w:tcBorders>
              <w:top w:val="nil"/>
              <w:left w:val="nil"/>
              <w:bottom w:val="nil"/>
              <w:right w:val="nil"/>
            </w:tcBorders>
            <w:noWrap/>
            <w:vAlign w:val="bottom"/>
          </w:tcPr>
          <w:p w14:paraId="03FF44A8" w14:textId="77777777" w:rsidR="00047467" w:rsidRPr="00724D83" w:rsidRDefault="00047467" w:rsidP="0098070F">
            <w:pPr>
              <w:spacing w:after="0" w:line="240" w:lineRule="auto"/>
              <w:rPr>
                <w:rFonts w:ascii="\" w:hAnsi="\"/>
                <w:color w:val="000000"/>
              </w:rPr>
            </w:pPr>
          </w:p>
        </w:tc>
        <w:tc>
          <w:tcPr>
            <w:tcW w:w="236" w:type="dxa"/>
            <w:tcBorders>
              <w:top w:val="nil"/>
              <w:left w:val="nil"/>
              <w:bottom w:val="nil"/>
              <w:right w:val="nil"/>
            </w:tcBorders>
            <w:noWrap/>
            <w:vAlign w:val="bottom"/>
          </w:tcPr>
          <w:p w14:paraId="03FF44A9" w14:textId="77777777" w:rsidR="00047467" w:rsidRPr="00724D83" w:rsidRDefault="00047467" w:rsidP="0098070F">
            <w:pPr>
              <w:spacing w:after="0" w:line="240" w:lineRule="auto"/>
              <w:rPr>
                <w:rFonts w:ascii="\" w:hAnsi="\"/>
                <w:color w:val="000000"/>
              </w:rPr>
            </w:pPr>
          </w:p>
        </w:tc>
        <w:tc>
          <w:tcPr>
            <w:tcW w:w="1836" w:type="dxa"/>
            <w:tcBorders>
              <w:top w:val="single" w:sz="4" w:space="0" w:color="auto"/>
              <w:left w:val="nil"/>
              <w:bottom w:val="double" w:sz="6" w:space="0" w:color="auto"/>
              <w:right w:val="nil"/>
            </w:tcBorders>
            <w:noWrap/>
            <w:vAlign w:val="bottom"/>
          </w:tcPr>
          <w:p w14:paraId="03FF44AA" w14:textId="77777777" w:rsidR="00047467" w:rsidRPr="00724D83" w:rsidRDefault="00047467" w:rsidP="0098070F">
            <w:pPr>
              <w:spacing w:after="0" w:line="240" w:lineRule="auto"/>
              <w:rPr>
                <w:rFonts w:ascii="\" w:hAnsi="\"/>
                <w:color w:val="000000"/>
              </w:rPr>
            </w:pPr>
          </w:p>
        </w:tc>
        <w:tc>
          <w:tcPr>
            <w:tcW w:w="236" w:type="dxa"/>
            <w:tcBorders>
              <w:top w:val="nil"/>
              <w:left w:val="nil"/>
              <w:bottom w:val="nil"/>
              <w:right w:val="nil"/>
            </w:tcBorders>
            <w:noWrap/>
            <w:vAlign w:val="bottom"/>
          </w:tcPr>
          <w:p w14:paraId="03FF44AB" w14:textId="77777777" w:rsidR="00047467" w:rsidRPr="00724D83" w:rsidRDefault="00047467" w:rsidP="0098070F">
            <w:pPr>
              <w:spacing w:after="0" w:line="240" w:lineRule="auto"/>
              <w:rPr>
                <w:rFonts w:ascii="\" w:hAnsi="\"/>
                <w:color w:val="000000"/>
              </w:rPr>
            </w:pPr>
          </w:p>
        </w:tc>
        <w:tc>
          <w:tcPr>
            <w:tcW w:w="1752" w:type="dxa"/>
            <w:tcBorders>
              <w:top w:val="single" w:sz="4" w:space="0" w:color="auto"/>
              <w:left w:val="nil"/>
              <w:bottom w:val="double" w:sz="6" w:space="0" w:color="auto"/>
              <w:right w:val="nil"/>
            </w:tcBorders>
            <w:noWrap/>
            <w:vAlign w:val="bottom"/>
          </w:tcPr>
          <w:p w14:paraId="03FF44AC" w14:textId="77777777" w:rsidR="00047467" w:rsidRPr="00724D83" w:rsidRDefault="00047467" w:rsidP="0098070F">
            <w:pPr>
              <w:spacing w:after="0" w:line="240" w:lineRule="auto"/>
              <w:rPr>
                <w:rFonts w:ascii="\" w:hAnsi="\"/>
                <w:color w:val="000000"/>
              </w:rPr>
            </w:pPr>
          </w:p>
        </w:tc>
        <w:bookmarkStart w:id="0" w:name="_GoBack"/>
        <w:bookmarkEnd w:id="0"/>
      </w:tr>
      <w:tr w:rsidR="00047467" w:rsidRPr="00724D83" w14:paraId="03FF44B1" w14:textId="77777777" w:rsidTr="0098070F">
        <w:trPr>
          <w:trHeight w:val="20"/>
        </w:trPr>
        <w:tc>
          <w:tcPr>
            <w:tcW w:w="5330" w:type="dxa"/>
            <w:tcBorders>
              <w:top w:val="nil"/>
              <w:left w:val="nil"/>
              <w:bottom w:val="nil"/>
              <w:right w:val="nil"/>
            </w:tcBorders>
            <w:noWrap/>
            <w:vAlign w:val="bottom"/>
          </w:tcPr>
          <w:p w14:paraId="03FF44AE" w14:textId="77777777" w:rsidR="00047467" w:rsidRPr="00724D83" w:rsidRDefault="00047467" w:rsidP="0098070F">
            <w:pPr>
              <w:pageBreakBefore/>
              <w:spacing w:after="0" w:line="240" w:lineRule="auto"/>
              <w:rPr>
                <w:b/>
                <w:bCs/>
                <w:color w:val="000000"/>
              </w:rPr>
            </w:pPr>
          </w:p>
        </w:tc>
        <w:tc>
          <w:tcPr>
            <w:tcW w:w="236" w:type="dxa"/>
            <w:tcBorders>
              <w:top w:val="nil"/>
              <w:left w:val="nil"/>
              <w:bottom w:val="nil"/>
              <w:right w:val="nil"/>
            </w:tcBorders>
            <w:noWrap/>
            <w:vAlign w:val="bottom"/>
          </w:tcPr>
          <w:p w14:paraId="03FF44AF" w14:textId="77777777" w:rsidR="00047467" w:rsidRPr="00724D83" w:rsidRDefault="00047467" w:rsidP="0098070F">
            <w:pPr>
              <w:spacing w:after="0" w:line="240" w:lineRule="auto"/>
              <w:rPr>
                <w:color w:val="000000"/>
              </w:rPr>
            </w:pPr>
          </w:p>
        </w:tc>
        <w:tc>
          <w:tcPr>
            <w:tcW w:w="3824" w:type="dxa"/>
            <w:gridSpan w:val="3"/>
            <w:tcBorders>
              <w:top w:val="nil"/>
              <w:left w:val="nil"/>
              <w:bottom w:val="single" w:sz="4" w:space="0" w:color="auto"/>
              <w:right w:val="nil"/>
            </w:tcBorders>
            <w:noWrap/>
            <w:vAlign w:val="bottom"/>
          </w:tcPr>
          <w:p w14:paraId="03FF44B0" w14:textId="77777777" w:rsidR="00047467" w:rsidRPr="00724D83" w:rsidRDefault="00047467" w:rsidP="0098070F">
            <w:pPr>
              <w:spacing w:after="0" w:line="240" w:lineRule="auto"/>
              <w:jc w:val="center"/>
              <w:rPr>
                <w:b/>
                <w:bCs/>
                <w:color w:val="000000"/>
              </w:rPr>
            </w:pPr>
            <w:r w:rsidRPr="00724D83">
              <w:rPr>
                <w:b/>
                <w:bCs/>
                <w:color w:val="000000"/>
              </w:rPr>
              <w:t>December 31,</w:t>
            </w:r>
          </w:p>
        </w:tc>
      </w:tr>
      <w:tr w:rsidR="00047467" w:rsidRPr="00724D83" w14:paraId="03FF44B7" w14:textId="77777777" w:rsidTr="0098070F">
        <w:trPr>
          <w:trHeight w:val="20"/>
        </w:trPr>
        <w:tc>
          <w:tcPr>
            <w:tcW w:w="5330" w:type="dxa"/>
            <w:tcBorders>
              <w:top w:val="nil"/>
              <w:left w:val="nil"/>
              <w:bottom w:val="nil"/>
              <w:right w:val="nil"/>
            </w:tcBorders>
            <w:noWrap/>
            <w:vAlign w:val="bottom"/>
          </w:tcPr>
          <w:p w14:paraId="03FF44B2" w14:textId="77777777" w:rsidR="00047467" w:rsidRPr="00724D83" w:rsidRDefault="00047467" w:rsidP="0098070F">
            <w:pPr>
              <w:spacing w:after="0" w:line="240" w:lineRule="auto"/>
              <w:rPr>
                <w:b/>
                <w:bCs/>
                <w:color w:val="000000"/>
              </w:rPr>
            </w:pPr>
            <w:r>
              <w:rPr>
                <w:b/>
                <w:bCs/>
                <w:color w:val="000000"/>
              </w:rPr>
              <w:t>Principal Actuarial Assumptions</w:t>
            </w:r>
          </w:p>
        </w:tc>
        <w:tc>
          <w:tcPr>
            <w:tcW w:w="236" w:type="dxa"/>
            <w:tcBorders>
              <w:top w:val="nil"/>
              <w:left w:val="nil"/>
              <w:bottom w:val="nil"/>
              <w:right w:val="nil"/>
            </w:tcBorders>
            <w:noWrap/>
            <w:vAlign w:val="bottom"/>
          </w:tcPr>
          <w:p w14:paraId="03FF44B3" w14:textId="77777777" w:rsidR="00047467" w:rsidRPr="00724D83" w:rsidRDefault="00047467" w:rsidP="0098070F">
            <w:pPr>
              <w:spacing w:after="0" w:line="240" w:lineRule="auto"/>
              <w:rPr>
                <w:color w:val="000000"/>
              </w:rPr>
            </w:pPr>
          </w:p>
        </w:tc>
        <w:tc>
          <w:tcPr>
            <w:tcW w:w="1835" w:type="dxa"/>
            <w:tcBorders>
              <w:top w:val="nil"/>
              <w:left w:val="nil"/>
              <w:bottom w:val="single" w:sz="4" w:space="0" w:color="auto"/>
              <w:right w:val="nil"/>
            </w:tcBorders>
            <w:noWrap/>
            <w:vAlign w:val="bottom"/>
          </w:tcPr>
          <w:p w14:paraId="03FF44B4" w14:textId="77777777" w:rsidR="00047467" w:rsidRPr="00724D83" w:rsidRDefault="00047467" w:rsidP="0098070F">
            <w:pPr>
              <w:spacing w:after="0" w:line="240" w:lineRule="auto"/>
              <w:jc w:val="center"/>
              <w:rPr>
                <w:b/>
                <w:bCs/>
                <w:color w:val="000000"/>
              </w:rPr>
            </w:pPr>
            <w:r w:rsidRPr="00724D83">
              <w:rPr>
                <w:b/>
                <w:bCs/>
                <w:color w:val="000000"/>
              </w:rPr>
              <w:t>20X1</w:t>
            </w:r>
          </w:p>
        </w:tc>
        <w:tc>
          <w:tcPr>
            <w:tcW w:w="236" w:type="dxa"/>
            <w:tcBorders>
              <w:top w:val="nil"/>
              <w:left w:val="nil"/>
              <w:bottom w:val="nil"/>
              <w:right w:val="nil"/>
            </w:tcBorders>
            <w:noWrap/>
            <w:vAlign w:val="bottom"/>
          </w:tcPr>
          <w:p w14:paraId="03FF44B5" w14:textId="77777777" w:rsidR="00047467" w:rsidRPr="00724D83" w:rsidRDefault="00047467" w:rsidP="0098070F">
            <w:pPr>
              <w:spacing w:after="0" w:line="240" w:lineRule="auto"/>
              <w:jc w:val="center"/>
              <w:rPr>
                <w:color w:val="000000"/>
              </w:rPr>
            </w:pPr>
          </w:p>
        </w:tc>
        <w:tc>
          <w:tcPr>
            <w:tcW w:w="1753" w:type="dxa"/>
            <w:tcBorders>
              <w:top w:val="nil"/>
              <w:left w:val="nil"/>
              <w:bottom w:val="single" w:sz="4" w:space="0" w:color="auto"/>
              <w:right w:val="nil"/>
            </w:tcBorders>
            <w:noWrap/>
            <w:vAlign w:val="bottom"/>
          </w:tcPr>
          <w:p w14:paraId="03FF44B6" w14:textId="77777777" w:rsidR="00047467" w:rsidRPr="00724D83" w:rsidRDefault="00047467" w:rsidP="0098070F">
            <w:pPr>
              <w:spacing w:after="0" w:line="240" w:lineRule="auto"/>
              <w:jc w:val="center"/>
              <w:rPr>
                <w:b/>
                <w:bCs/>
                <w:color w:val="000000"/>
              </w:rPr>
            </w:pPr>
            <w:r w:rsidRPr="00724D83">
              <w:rPr>
                <w:b/>
                <w:bCs/>
                <w:color w:val="000000"/>
              </w:rPr>
              <w:t>20XX</w:t>
            </w:r>
          </w:p>
        </w:tc>
      </w:tr>
      <w:tr w:rsidR="00047467" w:rsidRPr="00724D83" w14:paraId="03FF44BD" w14:textId="77777777" w:rsidTr="0098070F">
        <w:trPr>
          <w:trHeight w:val="20"/>
        </w:trPr>
        <w:tc>
          <w:tcPr>
            <w:tcW w:w="5330" w:type="dxa"/>
            <w:tcBorders>
              <w:top w:val="nil"/>
              <w:left w:val="nil"/>
              <w:bottom w:val="nil"/>
              <w:right w:val="nil"/>
            </w:tcBorders>
            <w:noWrap/>
            <w:vAlign w:val="bottom"/>
          </w:tcPr>
          <w:p w14:paraId="03FF44B8" w14:textId="77777777" w:rsidR="00047467" w:rsidRPr="00724D83" w:rsidRDefault="00047467" w:rsidP="0098070F">
            <w:pPr>
              <w:spacing w:after="0" w:line="240" w:lineRule="auto"/>
              <w:rPr>
                <w:color w:val="000000"/>
              </w:rPr>
            </w:pPr>
            <w:r w:rsidRPr="00724D83">
              <w:rPr>
                <w:color w:val="000000"/>
              </w:rPr>
              <w:t>Discount rate at December 31</w:t>
            </w:r>
          </w:p>
        </w:tc>
        <w:tc>
          <w:tcPr>
            <w:tcW w:w="236" w:type="dxa"/>
            <w:tcBorders>
              <w:top w:val="nil"/>
              <w:left w:val="nil"/>
              <w:bottom w:val="nil"/>
              <w:right w:val="nil"/>
            </w:tcBorders>
            <w:noWrap/>
            <w:vAlign w:val="bottom"/>
          </w:tcPr>
          <w:p w14:paraId="03FF44B9" w14:textId="77777777" w:rsidR="00047467" w:rsidRPr="00724D83" w:rsidRDefault="00047467" w:rsidP="0098070F">
            <w:pPr>
              <w:spacing w:after="0" w:line="240" w:lineRule="auto"/>
              <w:rPr>
                <w:color w:val="000000"/>
              </w:rPr>
            </w:pPr>
          </w:p>
        </w:tc>
        <w:tc>
          <w:tcPr>
            <w:tcW w:w="1835" w:type="dxa"/>
            <w:tcBorders>
              <w:top w:val="nil"/>
              <w:left w:val="nil"/>
              <w:bottom w:val="nil"/>
              <w:right w:val="nil"/>
            </w:tcBorders>
            <w:noWrap/>
            <w:vAlign w:val="bottom"/>
          </w:tcPr>
          <w:p w14:paraId="03FF44BA" w14:textId="77777777" w:rsidR="00047467" w:rsidRPr="00724D83" w:rsidRDefault="00047467" w:rsidP="0098070F">
            <w:pPr>
              <w:spacing w:after="0" w:line="240" w:lineRule="auto"/>
              <w:rPr>
                <w:color w:val="000000"/>
              </w:rPr>
            </w:pPr>
          </w:p>
        </w:tc>
        <w:tc>
          <w:tcPr>
            <w:tcW w:w="236" w:type="dxa"/>
            <w:tcBorders>
              <w:top w:val="nil"/>
              <w:left w:val="nil"/>
              <w:bottom w:val="nil"/>
              <w:right w:val="nil"/>
            </w:tcBorders>
            <w:noWrap/>
            <w:vAlign w:val="bottom"/>
          </w:tcPr>
          <w:p w14:paraId="03FF44BB" w14:textId="77777777" w:rsidR="00047467" w:rsidRPr="00724D83" w:rsidRDefault="00047467" w:rsidP="0098070F">
            <w:pPr>
              <w:spacing w:after="0" w:line="240" w:lineRule="auto"/>
              <w:rPr>
                <w:color w:val="000000"/>
              </w:rPr>
            </w:pPr>
          </w:p>
        </w:tc>
        <w:tc>
          <w:tcPr>
            <w:tcW w:w="1753" w:type="dxa"/>
            <w:tcBorders>
              <w:top w:val="nil"/>
              <w:left w:val="nil"/>
              <w:bottom w:val="nil"/>
              <w:right w:val="nil"/>
            </w:tcBorders>
            <w:noWrap/>
            <w:vAlign w:val="bottom"/>
          </w:tcPr>
          <w:p w14:paraId="03FF44BC" w14:textId="77777777" w:rsidR="00047467" w:rsidRPr="00724D83" w:rsidRDefault="00047467" w:rsidP="0098070F">
            <w:pPr>
              <w:spacing w:after="0" w:line="240" w:lineRule="auto"/>
              <w:rPr>
                <w:color w:val="000000"/>
              </w:rPr>
            </w:pPr>
          </w:p>
        </w:tc>
      </w:tr>
      <w:tr w:rsidR="00047467" w:rsidRPr="00724D83" w14:paraId="03FF44C3" w14:textId="77777777" w:rsidTr="0098070F">
        <w:trPr>
          <w:trHeight w:val="20"/>
        </w:trPr>
        <w:tc>
          <w:tcPr>
            <w:tcW w:w="5330" w:type="dxa"/>
            <w:tcBorders>
              <w:top w:val="nil"/>
              <w:left w:val="nil"/>
              <w:bottom w:val="nil"/>
              <w:right w:val="nil"/>
            </w:tcBorders>
            <w:noWrap/>
            <w:vAlign w:val="bottom"/>
          </w:tcPr>
          <w:p w14:paraId="03FF44BE" w14:textId="77777777" w:rsidR="00047467" w:rsidRPr="00724D83" w:rsidRDefault="00047467" w:rsidP="0098070F">
            <w:pPr>
              <w:spacing w:after="0" w:line="240" w:lineRule="auto"/>
              <w:rPr>
                <w:color w:val="000000"/>
              </w:rPr>
            </w:pPr>
            <w:r w:rsidRPr="00724D83">
              <w:rPr>
                <w:color w:val="000000"/>
              </w:rPr>
              <w:t>Expected return on plan assets at December 31</w:t>
            </w:r>
          </w:p>
        </w:tc>
        <w:tc>
          <w:tcPr>
            <w:tcW w:w="236" w:type="dxa"/>
            <w:tcBorders>
              <w:top w:val="nil"/>
              <w:left w:val="nil"/>
              <w:bottom w:val="nil"/>
              <w:right w:val="nil"/>
            </w:tcBorders>
            <w:noWrap/>
            <w:vAlign w:val="bottom"/>
          </w:tcPr>
          <w:p w14:paraId="03FF44BF" w14:textId="77777777" w:rsidR="00047467" w:rsidRPr="00724D83" w:rsidRDefault="00047467" w:rsidP="0098070F">
            <w:pPr>
              <w:spacing w:after="0" w:line="240" w:lineRule="auto"/>
              <w:rPr>
                <w:color w:val="000000"/>
              </w:rPr>
            </w:pPr>
          </w:p>
        </w:tc>
        <w:tc>
          <w:tcPr>
            <w:tcW w:w="1835" w:type="dxa"/>
            <w:tcBorders>
              <w:top w:val="nil"/>
              <w:left w:val="nil"/>
              <w:bottom w:val="nil"/>
              <w:right w:val="nil"/>
            </w:tcBorders>
            <w:noWrap/>
            <w:vAlign w:val="bottom"/>
          </w:tcPr>
          <w:p w14:paraId="03FF44C0" w14:textId="77777777" w:rsidR="00047467" w:rsidRPr="00724D83" w:rsidRDefault="00047467" w:rsidP="0098070F">
            <w:pPr>
              <w:spacing w:after="0" w:line="240" w:lineRule="auto"/>
              <w:rPr>
                <w:color w:val="000000"/>
              </w:rPr>
            </w:pPr>
          </w:p>
        </w:tc>
        <w:tc>
          <w:tcPr>
            <w:tcW w:w="236" w:type="dxa"/>
            <w:tcBorders>
              <w:top w:val="nil"/>
              <w:left w:val="nil"/>
              <w:bottom w:val="nil"/>
              <w:right w:val="nil"/>
            </w:tcBorders>
            <w:noWrap/>
            <w:vAlign w:val="bottom"/>
          </w:tcPr>
          <w:p w14:paraId="03FF44C1" w14:textId="77777777" w:rsidR="00047467" w:rsidRPr="00724D83" w:rsidRDefault="00047467" w:rsidP="0098070F">
            <w:pPr>
              <w:spacing w:after="0" w:line="240" w:lineRule="auto"/>
              <w:rPr>
                <w:color w:val="000000"/>
              </w:rPr>
            </w:pPr>
          </w:p>
        </w:tc>
        <w:tc>
          <w:tcPr>
            <w:tcW w:w="1753" w:type="dxa"/>
            <w:tcBorders>
              <w:top w:val="nil"/>
              <w:left w:val="nil"/>
              <w:bottom w:val="nil"/>
              <w:right w:val="nil"/>
            </w:tcBorders>
            <w:noWrap/>
            <w:vAlign w:val="bottom"/>
          </w:tcPr>
          <w:p w14:paraId="03FF44C2" w14:textId="77777777" w:rsidR="00047467" w:rsidRPr="00724D83" w:rsidRDefault="00047467" w:rsidP="0098070F">
            <w:pPr>
              <w:spacing w:after="0" w:line="240" w:lineRule="auto"/>
              <w:rPr>
                <w:color w:val="000000"/>
              </w:rPr>
            </w:pPr>
          </w:p>
        </w:tc>
      </w:tr>
      <w:tr w:rsidR="00047467" w:rsidRPr="00724D83" w14:paraId="03FF44C9" w14:textId="77777777" w:rsidTr="0098070F">
        <w:trPr>
          <w:trHeight w:val="20"/>
        </w:trPr>
        <w:tc>
          <w:tcPr>
            <w:tcW w:w="5330" w:type="dxa"/>
            <w:tcBorders>
              <w:top w:val="nil"/>
              <w:left w:val="nil"/>
              <w:bottom w:val="nil"/>
              <w:right w:val="nil"/>
            </w:tcBorders>
            <w:noWrap/>
            <w:vAlign w:val="bottom"/>
          </w:tcPr>
          <w:p w14:paraId="03FF44C4" w14:textId="77777777" w:rsidR="00047467" w:rsidRPr="00724D83" w:rsidRDefault="00047467" w:rsidP="0098070F">
            <w:pPr>
              <w:spacing w:after="0" w:line="240" w:lineRule="auto"/>
              <w:rPr>
                <w:color w:val="000000"/>
              </w:rPr>
            </w:pPr>
            <w:r w:rsidRPr="00724D83">
              <w:rPr>
                <w:color w:val="000000"/>
              </w:rPr>
              <w:t>Future salary increases</w:t>
            </w:r>
          </w:p>
        </w:tc>
        <w:tc>
          <w:tcPr>
            <w:tcW w:w="236" w:type="dxa"/>
            <w:tcBorders>
              <w:top w:val="nil"/>
              <w:left w:val="nil"/>
              <w:bottom w:val="nil"/>
              <w:right w:val="nil"/>
            </w:tcBorders>
            <w:noWrap/>
            <w:vAlign w:val="bottom"/>
          </w:tcPr>
          <w:p w14:paraId="03FF44C5" w14:textId="77777777" w:rsidR="00047467" w:rsidRPr="00724D83" w:rsidRDefault="00047467" w:rsidP="0098070F">
            <w:pPr>
              <w:spacing w:after="0" w:line="240" w:lineRule="auto"/>
              <w:rPr>
                <w:color w:val="000000"/>
              </w:rPr>
            </w:pPr>
          </w:p>
        </w:tc>
        <w:tc>
          <w:tcPr>
            <w:tcW w:w="1835" w:type="dxa"/>
            <w:tcBorders>
              <w:top w:val="nil"/>
              <w:left w:val="nil"/>
              <w:bottom w:val="nil"/>
              <w:right w:val="nil"/>
            </w:tcBorders>
            <w:noWrap/>
            <w:vAlign w:val="bottom"/>
          </w:tcPr>
          <w:p w14:paraId="03FF44C6" w14:textId="77777777" w:rsidR="00047467" w:rsidRPr="00724D83" w:rsidRDefault="00047467" w:rsidP="0098070F">
            <w:pPr>
              <w:spacing w:after="0" w:line="240" w:lineRule="auto"/>
              <w:rPr>
                <w:color w:val="000000"/>
              </w:rPr>
            </w:pPr>
          </w:p>
        </w:tc>
        <w:tc>
          <w:tcPr>
            <w:tcW w:w="236" w:type="dxa"/>
            <w:tcBorders>
              <w:top w:val="nil"/>
              <w:left w:val="nil"/>
              <w:bottom w:val="nil"/>
              <w:right w:val="nil"/>
            </w:tcBorders>
            <w:noWrap/>
            <w:vAlign w:val="bottom"/>
          </w:tcPr>
          <w:p w14:paraId="03FF44C7" w14:textId="77777777" w:rsidR="00047467" w:rsidRPr="00724D83" w:rsidRDefault="00047467" w:rsidP="0098070F">
            <w:pPr>
              <w:spacing w:after="0" w:line="240" w:lineRule="auto"/>
              <w:rPr>
                <w:color w:val="000000"/>
              </w:rPr>
            </w:pPr>
          </w:p>
        </w:tc>
        <w:tc>
          <w:tcPr>
            <w:tcW w:w="1753" w:type="dxa"/>
            <w:tcBorders>
              <w:top w:val="nil"/>
              <w:left w:val="nil"/>
              <w:bottom w:val="nil"/>
              <w:right w:val="nil"/>
            </w:tcBorders>
            <w:noWrap/>
            <w:vAlign w:val="bottom"/>
          </w:tcPr>
          <w:p w14:paraId="03FF44C8" w14:textId="77777777" w:rsidR="00047467" w:rsidRPr="00724D83" w:rsidRDefault="00047467" w:rsidP="0098070F">
            <w:pPr>
              <w:spacing w:after="0" w:line="240" w:lineRule="auto"/>
              <w:rPr>
                <w:color w:val="000000"/>
              </w:rPr>
            </w:pPr>
          </w:p>
        </w:tc>
      </w:tr>
      <w:tr w:rsidR="00047467" w:rsidRPr="00724D83" w14:paraId="03FF44CF" w14:textId="77777777" w:rsidTr="0098070F">
        <w:trPr>
          <w:trHeight w:val="20"/>
        </w:trPr>
        <w:tc>
          <w:tcPr>
            <w:tcW w:w="5330" w:type="dxa"/>
            <w:tcBorders>
              <w:top w:val="nil"/>
              <w:left w:val="nil"/>
              <w:bottom w:val="nil"/>
              <w:right w:val="nil"/>
            </w:tcBorders>
            <w:noWrap/>
            <w:vAlign w:val="bottom"/>
          </w:tcPr>
          <w:p w14:paraId="03FF44CA" w14:textId="77777777" w:rsidR="00047467" w:rsidRPr="00724D83" w:rsidRDefault="00047467" w:rsidP="0098070F">
            <w:pPr>
              <w:spacing w:after="0" w:line="240" w:lineRule="auto"/>
              <w:rPr>
                <w:color w:val="000000"/>
              </w:rPr>
            </w:pPr>
            <w:r w:rsidRPr="00724D83">
              <w:rPr>
                <w:color w:val="000000"/>
              </w:rPr>
              <w:t>Future pension increases</w:t>
            </w:r>
          </w:p>
        </w:tc>
        <w:tc>
          <w:tcPr>
            <w:tcW w:w="236" w:type="dxa"/>
            <w:tcBorders>
              <w:top w:val="nil"/>
              <w:left w:val="nil"/>
              <w:bottom w:val="nil"/>
              <w:right w:val="nil"/>
            </w:tcBorders>
            <w:noWrap/>
            <w:vAlign w:val="bottom"/>
          </w:tcPr>
          <w:p w14:paraId="03FF44CB" w14:textId="77777777" w:rsidR="00047467" w:rsidRPr="00724D83" w:rsidRDefault="00047467" w:rsidP="0098070F">
            <w:pPr>
              <w:spacing w:after="0" w:line="240" w:lineRule="auto"/>
              <w:rPr>
                <w:color w:val="000000"/>
              </w:rPr>
            </w:pPr>
          </w:p>
        </w:tc>
        <w:tc>
          <w:tcPr>
            <w:tcW w:w="1835" w:type="dxa"/>
            <w:tcBorders>
              <w:top w:val="nil"/>
              <w:left w:val="nil"/>
              <w:bottom w:val="nil"/>
              <w:right w:val="nil"/>
            </w:tcBorders>
            <w:noWrap/>
            <w:vAlign w:val="bottom"/>
          </w:tcPr>
          <w:p w14:paraId="03FF44CC" w14:textId="77777777" w:rsidR="00047467" w:rsidRPr="00724D83" w:rsidRDefault="00047467" w:rsidP="0098070F">
            <w:pPr>
              <w:spacing w:after="0" w:line="240" w:lineRule="auto"/>
              <w:rPr>
                <w:color w:val="000000"/>
              </w:rPr>
            </w:pPr>
          </w:p>
        </w:tc>
        <w:tc>
          <w:tcPr>
            <w:tcW w:w="236" w:type="dxa"/>
            <w:tcBorders>
              <w:top w:val="nil"/>
              <w:left w:val="nil"/>
              <w:bottom w:val="nil"/>
              <w:right w:val="nil"/>
            </w:tcBorders>
            <w:noWrap/>
            <w:vAlign w:val="bottom"/>
          </w:tcPr>
          <w:p w14:paraId="03FF44CD" w14:textId="77777777" w:rsidR="00047467" w:rsidRPr="00724D83" w:rsidRDefault="00047467" w:rsidP="0098070F">
            <w:pPr>
              <w:spacing w:after="0" w:line="240" w:lineRule="auto"/>
              <w:rPr>
                <w:color w:val="000000"/>
              </w:rPr>
            </w:pPr>
          </w:p>
        </w:tc>
        <w:tc>
          <w:tcPr>
            <w:tcW w:w="1753" w:type="dxa"/>
            <w:tcBorders>
              <w:top w:val="nil"/>
              <w:left w:val="nil"/>
              <w:bottom w:val="nil"/>
              <w:right w:val="nil"/>
            </w:tcBorders>
            <w:noWrap/>
            <w:vAlign w:val="bottom"/>
          </w:tcPr>
          <w:p w14:paraId="03FF44CE" w14:textId="77777777" w:rsidR="00047467" w:rsidRPr="00724D83" w:rsidRDefault="00047467" w:rsidP="0098070F">
            <w:pPr>
              <w:spacing w:after="0" w:line="240" w:lineRule="auto"/>
              <w:rPr>
                <w:color w:val="000000"/>
              </w:rPr>
            </w:pPr>
          </w:p>
        </w:tc>
      </w:tr>
    </w:tbl>
    <w:p w14:paraId="03FF44E3" w14:textId="77777777" w:rsidR="00047467" w:rsidRDefault="00047467" w:rsidP="002F3690"/>
    <w:p w14:paraId="03FF44E4" w14:textId="77777777" w:rsidR="00047467" w:rsidRPr="00724D83" w:rsidRDefault="00047467" w:rsidP="005144EB">
      <w:pPr>
        <w:pStyle w:val="Text1"/>
        <w:tabs>
          <w:tab w:val="left" w:pos="360"/>
        </w:tabs>
      </w:pPr>
    </w:p>
    <w:p w14:paraId="03FF44E5" w14:textId="77777777" w:rsidR="00047467" w:rsidRPr="00724D83" w:rsidRDefault="00047467" w:rsidP="00682906">
      <w:pPr>
        <w:pStyle w:val="Text1"/>
      </w:pPr>
    </w:p>
    <w:p w14:paraId="03FF44E6" w14:textId="77777777" w:rsidR="00047467" w:rsidRPr="00724D83" w:rsidRDefault="00047467" w:rsidP="00B12073">
      <w:pPr>
        <w:pStyle w:val="Text1kwn"/>
      </w:pPr>
    </w:p>
    <w:p w14:paraId="03FF44E7" w14:textId="77777777" w:rsidR="00047467" w:rsidRPr="00724D83" w:rsidRDefault="00047467" w:rsidP="004F4E5B">
      <w:pPr>
        <w:pStyle w:val="Text1"/>
      </w:pPr>
    </w:p>
    <w:p w14:paraId="03FF44E8" w14:textId="77777777" w:rsidR="00047467" w:rsidRPr="00724D83" w:rsidRDefault="00047467" w:rsidP="004F4E5B">
      <w:pPr>
        <w:pStyle w:val="Text1"/>
      </w:pPr>
    </w:p>
    <w:p w14:paraId="03FF44E9" w14:textId="77777777" w:rsidR="00047467" w:rsidRPr="00724D83" w:rsidRDefault="00047467" w:rsidP="004F4E5B">
      <w:pPr>
        <w:pStyle w:val="Text1"/>
      </w:pPr>
    </w:p>
    <w:p w14:paraId="03FF44EA" w14:textId="77777777" w:rsidR="00047467" w:rsidRPr="00724D83" w:rsidRDefault="00047467" w:rsidP="004F4E5B">
      <w:pPr>
        <w:pStyle w:val="Text1"/>
      </w:pPr>
    </w:p>
    <w:p w14:paraId="03FF44EB" w14:textId="77777777" w:rsidR="00047467" w:rsidRPr="00724D83" w:rsidRDefault="00047467" w:rsidP="004F4E5B">
      <w:pPr>
        <w:pStyle w:val="Text1"/>
      </w:pPr>
    </w:p>
    <w:p w14:paraId="03FF44EC" w14:textId="77777777" w:rsidR="00047467" w:rsidRPr="00724D83" w:rsidRDefault="00047467" w:rsidP="004F4E5B">
      <w:pPr>
        <w:pStyle w:val="Text1"/>
      </w:pPr>
    </w:p>
    <w:p w14:paraId="03FF44ED" w14:textId="77777777" w:rsidR="00047467" w:rsidRPr="00724D83" w:rsidRDefault="00047467" w:rsidP="004F4E5B">
      <w:pPr>
        <w:pStyle w:val="Text1"/>
      </w:pPr>
    </w:p>
    <w:p w14:paraId="03FF44EE" w14:textId="77777777" w:rsidR="00047467" w:rsidRPr="00724D83" w:rsidRDefault="00047467" w:rsidP="004F4E5B">
      <w:pPr>
        <w:pStyle w:val="Text1"/>
      </w:pPr>
    </w:p>
    <w:p w14:paraId="03FF44EF" w14:textId="77777777" w:rsidR="00047467" w:rsidRPr="00724D83" w:rsidRDefault="00047467" w:rsidP="004F4E5B">
      <w:pPr>
        <w:pStyle w:val="Text1"/>
      </w:pPr>
    </w:p>
    <w:p w14:paraId="03FF44F0" w14:textId="77777777" w:rsidR="00047467" w:rsidRPr="00724D83" w:rsidRDefault="00047467" w:rsidP="004F4E5B">
      <w:pPr>
        <w:sectPr w:rsidR="00047467" w:rsidRPr="00724D83" w:rsidSect="006A1B4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656" w:header="720" w:footer="720" w:gutter="0"/>
          <w:pgNumType w:start="1"/>
          <w:cols w:space="720"/>
          <w:noEndnote/>
        </w:sectPr>
      </w:pPr>
    </w:p>
    <w:p w14:paraId="03FF44F1" w14:textId="77777777" w:rsidR="00047467" w:rsidRPr="00941B3A" w:rsidRDefault="00047467" w:rsidP="00D51B59">
      <w:pPr>
        <w:pStyle w:val="Head1"/>
      </w:pPr>
    </w:p>
    <w:sectPr w:rsidR="00047467" w:rsidRPr="00941B3A" w:rsidSect="00896EC7">
      <w:headerReference w:type="default" r:id="rId18"/>
      <w:type w:val="continuous"/>
      <w:pgSz w:w="12240" w:h="15840"/>
      <w:pgMar w:top="1440" w:right="1440" w:bottom="1440" w:left="165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F44F4" w14:textId="77777777" w:rsidR="0001162E" w:rsidRPr="00847423" w:rsidRDefault="0001162E" w:rsidP="00847423">
      <w:pPr>
        <w:spacing w:after="0" w:line="240" w:lineRule="auto"/>
        <w:rPr>
          <w:rFonts w:ascii="Calibri" w:hAnsi="Calibri"/>
        </w:rPr>
      </w:pPr>
      <w:r>
        <w:separator/>
      </w:r>
    </w:p>
  </w:endnote>
  <w:endnote w:type="continuationSeparator" w:id="0">
    <w:p w14:paraId="03FF44F5" w14:textId="77777777" w:rsidR="0001162E" w:rsidRPr="00847423" w:rsidRDefault="0001162E"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SwiftLTPro-ExtraBold">
    <w:panose1 w:val="00000000000000000000"/>
    <w:charset w:val="00"/>
    <w:family w:val="auto"/>
    <w:notTrueType/>
    <w:pitch w:val="default"/>
    <w:sig w:usb0="00000003" w:usb1="00000000" w:usb2="00000000" w:usb3="00000000" w:csb0="00000001" w:csb1="00000000"/>
  </w:font>
  <w:font w:name="SwiftLTPro-Regular">
    <w:panose1 w:val="00000000000000000000"/>
    <w:charset w:val="00"/>
    <w:family w:val="auto"/>
    <w:notTrueType/>
    <w:pitch w:val="default"/>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2A8B0" w14:textId="77777777" w:rsidR="00B65E79" w:rsidRDefault="00B65E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F4506" w14:textId="77777777" w:rsidR="0001162E" w:rsidRDefault="0001162E" w:rsidP="005144EB">
    <w:pPr>
      <w:pStyle w:val="Footer"/>
      <w:jc w:val="right"/>
    </w:pPr>
    <w:r>
      <w:fldChar w:fldCharType="begin"/>
    </w:r>
    <w:r>
      <w:instrText xml:space="preserve"> PAGE   \* MERGEFORMAT </w:instrText>
    </w:r>
    <w:r>
      <w:fldChar w:fldCharType="separate"/>
    </w:r>
    <w:r w:rsidR="00D55BB2">
      <w:rPr>
        <w:noProof/>
      </w:rPr>
      <w:t>15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DAC35" w14:textId="77777777" w:rsidR="00B65E79" w:rsidRDefault="00B65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F44F2" w14:textId="77777777" w:rsidR="0001162E" w:rsidRPr="00847423" w:rsidRDefault="0001162E" w:rsidP="00847423">
      <w:pPr>
        <w:spacing w:after="0" w:line="240" w:lineRule="auto"/>
        <w:rPr>
          <w:rFonts w:ascii="Calibri" w:hAnsi="Calibri"/>
        </w:rPr>
      </w:pPr>
      <w:r>
        <w:separator/>
      </w:r>
    </w:p>
  </w:footnote>
  <w:footnote w:type="continuationSeparator" w:id="0">
    <w:p w14:paraId="03FF44F3" w14:textId="77777777" w:rsidR="0001162E" w:rsidRPr="00847423" w:rsidRDefault="0001162E"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6F8E" w14:textId="77777777" w:rsidR="00B65E79" w:rsidRDefault="00B65E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752"/>
      <w:gridCol w:w="3203"/>
      <w:gridCol w:w="3405"/>
    </w:tblGrid>
    <w:tr w:rsidR="0001162E" w:rsidRPr="000229A7" w14:paraId="03FF44F8" w14:textId="77777777" w:rsidTr="005144EB">
      <w:trPr>
        <w:trHeight w:val="690"/>
      </w:trPr>
      <w:tc>
        <w:tcPr>
          <w:tcW w:w="2752" w:type="dxa"/>
          <w:vMerge w:val="restart"/>
          <w:tcBorders>
            <w:top w:val="double" w:sz="4" w:space="0" w:color="000000"/>
            <w:left w:val="double" w:sz="4" w:space="0" w:color="000000"/>
            <w:right w:val="single" w:sz="4" w:space="0" w:color="000000"/>
          </w:tcBorders>
          <w:vAlign w:val="center"/>
        </w:tcPr>
        <w:p w14:paraId="03FF44F6" w14:textId="77777777" w:rsidR="0001162E" w:rsidRPr="0028799E" w:rsidRDefault="0001162E" w:rsidP="005144EB">
          <w:pPr>
            <w:pStyle w:val="Default"/>
            <w:jc w:val="center"/>
            <w:rPr>
              <w:b/>
              <w:color w:val="auto"/>
            </w:rPr>
          </w:pPr>
          <w:r>
            <w:rPr>
              <w:b/>
              <w:color w:val="auto"/>
            </w:rPr>
            <w:t>109.0</w:t>
          </w:r>
        </w:p>
      </w:tc>
      <w:tc>
        <w:tcPr>
          <w:tcW w:w="6608" w:type="dxa"/>
          <w:gridSpan w:val="2"/>
          <w:tcBorders>
            <w:top w:val="double" w:sz="4" w:space="0" w:color="000000"/>
            <w:left w:val="single" w:sz="4" w:space="0" w:color="000000"/>
            <w:bottom w:val="single" w:sz="4" w:space="0" w:color="000000"/>
            <w:right w:val="double" w:sz="4" w:space="0" w:color="000000"/>
          </w:tcBorders>
          <w:vAlign w:val="center"/>
        </w:tcPr>
        <w:p w14:paraId="03FF44F7" w14:textId="77777777" w:rsidR="0001162E" w:rsidRPr="000229A7" w:rsidRDefault="0001162E" w:rsidP="005144EB">
          <w:pPr>
            <w:pStyle w:val="Default"/>
            <w:jc w:val="center"/>
            <w:rPr>
              <w:b/>
              <w:sz w:val="22"/>
              <w:szCs w:val="22"/>
            </w:rPr>
          </w:pPr>
          <w:r w:rsidRPr="000229A7">
            <w:rPr>
              <w:b/>
              <w:sz w:val="22"/>
              <w:szCs w:val="22"/>
            </w:rPr>
            <w:t>INTERNATIONAL FINANCIAL REPORTING STANDARDS</w:t>
          </w:r>
        </w:p>
      </w:tc>
    </w:tr>
    <w:tr w:rsidR="0001162E" w:rsidRPr="000229A7" w14:paraId="03FF44FC" w14:textId="77777777" w:rsidTr="001A1115">
      <w:trPr>
        <w:trHeight w:val="735"/>
      </w:trPr>
      <w:tc>
        <w:tcPr>
          <w:tcW w:w="2752" w:type="dxa"/>
          <w:vMerge/>
          <w:tcBorders>
            <w:left w:val="double" w:sz="4" w:space="0" w:color="000000"/>
            <w:bottom w:val="single" w:sz="4" w:space="0" w:color="auto"/>
            <w:right w:val="single" w:sz="4" w:space="0" w:color="000000"/>
          </w:tcBorders>
        </w:tcPr>
        <w:p w14:paraId="03FF44F9" w14:textId="77777777" w:rsidR="0001162E" w:rsidRPr="000229A7" w:rsidRDefault="0001162E" w:rsidP="005144EB">
          <w:pPr>
            <w:pStyle w:val="Default"/>
            <w:rPr>
              <w:color w:val="auto"/>
            </w:rPr>
          </w:pPr>
        </w:p>
      </w:tc>
      <w:tc>
        <w:tcPr>
          <w:tcW w:w="3203" w:type="dxa"/>
          <w:vMerge w:val="restart"/>
          <w:tcBorders>
            <w:top w:val="single" w:sz="4" w:space="0" w:color="000000"/>
            <w:left w:val="single" w:sz="4" w:space="0" w:color="000000"/>
            <w:bottom w:val="nil"/>
            <w:right w:val="single" w:sz="6" w:space="0" w:color="000000"/>
          </w:tcBorders>
          <w:vAlign w:val="center"/>
        </w:tcPr>
        <w:p w14:paraId="03FF44FA" w14:textId="77777777" w:rsidR="0001162E" w:rsidRPr="000229A7" w:rsidRDefault="0001162E" w:rsidP="005144EB">
          <w:pPr>
            <w:pStyle w:val="Default"/>
            <w:jc w:val="center"/>
            <w:rPr>
              <w:sz w:val="22"/>
              <w:szCs w:val="22"/>
            </w:rPr>
          </w:pPr>
          <w:r w:rsidRPr="000229A7">
            <w:rPr>
              <w:b/>
              <w:bCs/>
              <w:sz w:val="22"/>
              <w:szCs w:val="22"/>
            </w:rPr>
            <w:t>ACCOUNTING MANUAL</w:t>
          </w:r>
        </w:p>
      </w:tc>
      <w:tc>
        <w:tcPr>
          <w:tcW w:w="3405" w:type="dxa"/>
          <w:vMerge w:val="restart"/>
          <w:tcBorders>
            <w:top w:val="single" w:sz="6" w:space="0" w:color="000000"/>
            <w:left w:val="single" w:sz="6" w:space="0" w:color="000000"/>
            <w:bottom w:val="nil"/>
            <w:right w:val="double" w:sz="6" w:space="0" w:color="000000"/>
          </w:tcBorders>
          <w:vAlign w:val="center"/>
        </w:tcPr>
        <w:p w14:paraId="03FF44FB" w14:textId="77777777" w:rsidR="0001162E" w:rsidRPr="0028799E" w:rsidRDefault="0001162E" w:rsidP="005144EB">
          <w:pPr>
            <w:pStyle w:val="Default"/>
            <w:jc w:val="center"/>
            <w:rPr>
              <w:b/>
              <w:bCs/>
            </w:rPr>
          </w:pPr>
          <w:r w:rsidRPr="0028799E">
            <w:rPr>
              <w:b/>
              <w:bCs/>
            </w:rPr>
            <w:t>Employee Benefits</w:t>
          </w:r>
        </w:p>
      </w:tc>
    </w:tr>
    <w:tr w:rsidR="0001162E" w:rsidRPr="000229A7" w14:paraId="03FF4500" w14:textId="77777777" w:rsidTr="001A1115">
      <w:trPr>
        <w:trHeight w:val="396"/>
      </w:trPr>
      <w:tc>
        <w:tcPr>
          <w:tcW w:w="2752" w:type="dxa"/>
          <w:vMerge w:val="restart"/>
          <w:tcBorders>
            <w:top w:val="single" w:sz="4" w:space="0" w:color="auto"/>
            <w:left w:val="double" w:sz="4" w:space="0" w:color="000000"/>
            <w:right w:val="single" w:sz="4" w:space="0" w:color="000000"/>
          </w:tcBorders>
        </w:tcPr>
        <w:p w14:paraId="03FF44FD" w14:textId="77777777" w:rsidR="0001162E" w:rsidRPr="002E2534" w:rsidRDefault="0001162E" w:rsidP="005144EB">
          <w:pPr>
            <w:pStyle w:val="Default"/>
            <w:spacing w:before="120"/>
            <w:jc w:val="center"/>
            <w:rPr>
              <w:b/>
              <w:color w:val="auto"/>
            </w:rPr>
          </w:pPr>
          <w:r>
            <w:rPr>
              <w:b/>
              <w:color w:val="auto"/>
            </w:rPr>
            <w:t>FINANCIAL</w:t>
          </w:r>
          <w:r>
            <w:rPr>
              <w:b/>
              <w:color w:val="auto"/>
            </w:rPr>
            <w:br/>
            <w:t>MANUAL</w:t>
          </w:r>
        </w:p>
      </w:tc>
      <w:tc>
        <w:tcPr>
          <w:tcW w:w="3203" w:type="dxa"/>
          <w:vMerge/>
          <w:tcBorders>
            <w:left w:val="single" w:sz="4" w:space="0" w:color="000000"/>
            <w:right w:val="single" w:sz="6" w:space="0" w:color="000000"/>
          </w:tcBorders>
          <w:vAlign w:val="center"/>
        </w:tcPr>
        <w:p w14:paraId="03FF44FE" w14:textId="77777777" w:rsidR="0001162E" w:rsidRPr="000229A7" w:rsidRDefault="0001162E" w:rsidP="005144EB">
          <w:pPr>
            <w:pStyle w:val="Default"/>
            <w:jc w:val="center"/>
            <w:rPr>
              <w:b/>
              <w:bCs/>
              <w:sz w:val="22"/>
              <w:szCs w:val="22"/>
            </w:rPr>
          </w:pPr>
        </w:p>
      </w:tc>
      <w:tc>
        <w:tcPr>
          <w:tcW w:w="3405" w:type="dxa"/>
          <w:vMerge/>
          <w:tcBorders>
            <w:left w:val="single" w:sz="6" w:space="0" w:color="000000"/>
            <w:bottom w:val="single" w:sz="4" w:space="0" w:color="000000"/>
            <w:right w:val="double" w:sz="6" w:space="0" w:color="000000"/>
          </w:tcBorders>
        </w:tcPr>
        <w:p w14:paraId="03FF44FF" w14:textId="77777777" w:rsidR="0001162E" w:rsidRPr="000229A7" w:rsidRDefault="0001162E" w:rsidP="005144EB">
          <w:pPr>
            <w:pStyle w:val="Default"/>
            <w:jc w:val="center"/>
            <w:rPr>
              <w:b/>
              <w:bCs/>
              <w:sz w:val="22"/>
              <w:szCs w:val="22"/>
            </w:rPr>
          </w:pPr>
        </w:p>
      </w:tc>
    </w:tr>
    <w:tr w:rsidR="0001162E" w:rsidRPr="000229A7" w14:paraId="03FF4504" w14:textId="77777777" w:rsidTr="00FB5F4D">
      <w:trPr>
        <w:trHeight w:val="275"/>
      </w:trPr>
      <w:tc>
        <w:tcPr>
          <w:tcW w:w="2752" w:type="dxa"/>
          <w:vMerge/>
          <w:tcBorders>
            <w:left w:val="double" w:sz="4" w:space="0" w:color="000000"/>
            <w:right w:val="single" w:sz="4" w:space="0" w:color="000000"/>
          </w:tcBorders>
        </w:tcPr>
        <w:p w14:paraId="03FF4501" w14:textId="77777777" w:rsidR="0001162E" w:rsidRPr="000229A7" w:rsidRDefault="0001162E" w:rsidP="005144EB">
          <w:pPr>
            <w:pStyle w:val="Default"/>
            <w:rPr>
              <w:color w:val="auto"/>
            </w:rPr>
          </w:pPr>
        </w:p>
      </w:tc>
      <w:tc>
        <w:tcPr>
          <w:tcW w:w="3203" w:type="dxa"/>
          <w:vMerge/>
          <w:tcBorders>
            <w:left w:val="single" w:sz="4" w:space="0" w:color="000000"/>
            <w:right w:val="single" w:sz="4" w:space="0" w:color="000000"/>
          </w:tcBorders>
          <w:vAlign w:val="center"/>
        </w:tcPr>
        <w:p w14:paraId="03FF4502" w14:textId="77777777" w:rsidR="0001162E" w:rsidRPr="000229A7" w:rsidRDefault="0001162E" w:rsidP="005144EB">
          <w:pPr>
            <w:pStyle w:val="Default"/>
            <w:rPr>
              <w:color w:val="auto"/>
            </w:rPr>
          </w:pPr>
        </w:p>
      </w:tc>
      <w:tc>
        <w:tcPr>
          <w:tcW w:w="3405" w:type="dxa"/>
          <w:tcBorders>
            <w:top w:val="single" w:sz="4" w:space="0" w:color="000000"/>
            <w:left w:val="single" w:sz="4" w:space="0" w:color="000000"/>
            <w:bottom w:val="single" w:sz="4" w:space="0" w:color="000000"/>
            <w:right w:val="double" w:sz="4" w:space="0" w:color="000000"/>
          </w:tcBorders>
          <w:vAlign w:val="center"/>
        </w:tcPr>
        <w:p w14:paraId="03FF4503" w14:textId="3E181E9A" w:rsidR="0001162E" w:rsidRPr="002E2534" w:rsidRDefault="0001162E" w:rsidP="005144EB">
          <w:pPr>
            <w:pStyle w:val="Default"/>
            <w:jc w:val="center"/>
            <w:rPr>
              <w:b/>
              <w:bCs/>
              <w:sz w:val="20"/>
              <w:szCs w:val="20"/>
            </w:rPr>
          </w:pPr>
          <w:r>
            <w:rPr>
              <w:b/>
              <w:bCs/>
              <w:sz w:val="20"/>
              <w:szCs w:val="20"/>
            </w:rPr>
            <w:t>December 2013 – Version 1.1</w:t>
          </w:r>
        </w:p>
      </w:tc>
    </w:tr>
    <w:tr w:rsidR="0001162E" w:rsidRPr="000229A7" w14:paraId="0BA21B3B" w14:textId="77777777" w:rsidTr="005144EB">
      <w:trPr>
        <w:trHeight w:val="275"/>
      </w:trPr>
      <w:tc>
        <w:tcPr>
          <w:tcW w:w="2752" w:type="dxa"/>
          <w:tcBorders>
            <w:left w:val="double" w:sz="4" w:space="0" w:color="000000"/>
            <w:bottom w:val="double" w:sz="4" w:space="0" w:color="000000"/>
            <w:right w:val="single" w:sz="4" w:space="0" w:color="000000"/>
          </w:tcBorders>
        </w:tcPr>
        <w:p w14:paraId="7E7E91F2" w14:textId="77777777" w:rsidR="0001162E" w:rsidRPr="000229A7" w:rsidRDefault="0001162E" w:rsidP="005144EB">
          <w:pPr>
            <w:pStyle w:val="Default"/>
            <w:rPr>
              <w:color w:val="auto"/>
            </w:rPr>
          </w:pPr>
        </w:p>
      </w:tc>
      <w:tc>
        <w:tcPr>
          <w:tcW w:w="3203" w:type="dxa"/>
          <w:tcBorders>
            <w:left w:val="single" w:sz="4" w:space="0" w:color="000000"/>
            <w:bottom w:val="double" w:sz="4" w:space="0" w:color="000000"/>
            <w:right w:val="single" w:sz="4" w:space="0" w:color="000000"/>
          </w:tcBorders>
          <w:vAlign w:val="center"/>
        </w:tcPr>
        <w:p w14:paraId="58B1DB3C" w14:textId="77777777" w:rsidR="0001162E" w:rsidRPr="000229A7" w:rsidRDefault="0001162E" w:rsidP="005144EB">
          <w:pPr>
            <w:pStyle w:val="Default"/>
            <w:rPr>
              <w:color w:val="auto"/>
            </w:rPr>
          </w:pPr>
        </w:p>
      </w:tc>
      <w:tc>
        <w:tcPr>
          <w:tcW w:w="3405" w:type="dxa"/>
          <w:tcBorders>
            <w:top w:val="single" w:sz="4" w:space="0" w:color="000000"/>
            <w:left w:val="single" w:sz="4" w:space="0" w:color="000000"/>
            <w:bottom w:val="double" w:sz="4" w:space="0" w:color="000000"/>
            <w:right w:val="double" w:sz="4" w:space="0" w:color="000000"/>
          </w:tcBorders>
          <w:vAlign w:val="center"/>
        </w:tcPr>
        <w:p w14:paraId="3A348369" w14:textId="6EC58552" w:rsidR="0001162E" w:rsidRDefault="0001162E" w:rsidP="00D55BB2">
          <w:pPr>
            <w:pStyle w:val="Default"/>
            <w:jc w:val="center"/>
            <w:rPr>
              <w:b/>
              <w:bCs/>
              <w:sz w:val="20"/>
              <w:szCs w:val="20"/>
            </w:rPr>
          </w:pPr>
          <w:r>
            <w:rPr>
              <w:b/>
              <w:bCs/>
              <w:sz w:val="20"/>
              <w:szCs w:val="20"/>
            </w:rPr>
            <w:t>Last Reviewed: December 201</w:t>
          </w:r>
          <w:r w:rsidR="00D55BB2">
            <w:rPr>
              <w:b/>
              <w:bCs/>
              <w:sz w:val="20"/>
              <w:szCs w:val="20"/>
            </w:rPr>
            <w:t>8</w:t>
          </w:r>
        </w:p>
      </w:tc>
    </w:tr>
  </w:tbl>
  <w:p w14:paraId="03FF4505" w14:textId="77777777" w:rsidR="0001162E" w:rsidRDefault="000116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F09F6" w14:textId="77777777" w:rsidR="00B65E79" w:rsidRDefault="00B65E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F4507" w14:textId="77777777" w:rsidR="0001162E" w:rsidRPr="00D51B59" w:rsidRDefault="0001162E" w:rsidP="00D51B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33"/>
    <w:multiLevelType w:val="hybridMultilevel"/>
    <w:tmpl w:val="20ACDD0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604B3"/>
    <w:multiLevelType w:val="hybridMultilevel"/>
    <w:tmpl w:val="D1E02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EF9"/>
    <w:multiLevelType w:val="multilevel"/>
    <w:tmpl w:val="3C18E560"/>
    <w:lvl w:ilvl="0">
      <w:start w:val="1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C51969"/>
    <w:multiLevelType w:val="hybridMultilevel"/>
    <w:tmpl w:val="2220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5EF5"/>
    <w:multiLevelType w:val="hybridMultilevel"/>
    <w:tmpl w:val="3FFE4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F730F7"/>
    <w:multiLevelType w:val="multilevel"/>
    <w:tmpl w:val="766C72C4"/>
    <w:lvl w:ilvl="0">
      <w:start w:val="18"/>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2134D7"/>
    <w:multiLevelType w:val="hybridMultilevel"/>
    <w:tmpl w:val="ABE01E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385ACA"/>
    <w:multiLevelType w:val="multilevel"/>
    <w:tmpl w:val="85D0E80E"/>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94"/>
        </w:tabs>
        <w:ind w:left="1094"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5BF6422"/>
    <w:multiLevelType w:val="hybridMultilevel"/>
    <w:tmpl w:val="83B67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F6D69"/>
    <w:multiLevelType w:val="hybridMultilevel"/>
    <w:tmpl w:val="94D63E86"/>
    <w:lvl w:ilvl="0" w:tplc="4A4CD8AC">
      <w:start w:val="1"/>
      <w:numFmt w:val="bullet"/>
      <w:lvlText w:val=""/>
      <w:lvlJc w:val="left"/>
      <w:pPr>
        <w:tabs>
          <w:tab w:val="num" w:pos="630"/>
        </w:tabs>
        <w:ind w:left="630" w:hanging="216"/>
      </w:pPr>
      <w:rPr>
        <w:rFonts w:ascii="Symbol" w:hAnsi="Symbol" w:hint="default"/>
        <w:color w:val="auto"/>
        <w:sz w:val="24"/>
      </w:rPr>
    </w:lvl>
    <w:lvl w:ilvl="1" w:tplc="D7FC6AB2">
      <w:start w:val="1"/>
      <w:numFmt w:val="bullet"/>
      <w:lvlText w:val=""/>
      <w:lvlJc w:val="left"/>
      <w:pPr>
        <w:tabs>
          <w:tab w:val="num" w:pos="1494"/>
        </w:tabs>
        <w:ind w:left="1494" w:hanging="360"/>
      </w:pPr>
      <w:rPr>
        <w:rFonts w:ascii="Wingdings" w:hAnsi="Wingdings" w:hint="default"/>
        <w:color w:val="auto"/>
        <w:sz w:val="18"/>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nsid w:val="1D340E48"/>
    <w:multiLevelType w:val="hybridMultilevel"/>
    <w:tmpl w:val="2974C48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87105D"/>
    <w:multiLevelType w:val="hybridMultilevel"/>
    <w:tmpl w:val="E17CE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F6E38"/>
    <w:multiLevelType w:val="hybridMultilevel"/>
    <w:tmpl w:val="6C685F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B52DC6"/>
    <w:multiLevelType w:val="hybridMultilevel"/>
    <w:tmpl w:val="8F868B56"/>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95620"/>
    <w:multiLevelType w:val="hybridMultilevel"/>
    <w:tmpl w:val="A38CC3FE"/>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985A13"/>
    <w:multiLevelType w:val="multilevel"/>
    <w:tmpl w:val="CCFEE73E"/>
    <w:lvl w:ilvl="0">
      <w:start w:val="1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6BA6C6B"/>
    <w:multiLevelType w:val="multilevel"/>
    <w:tmpl w:val="08669D96"/>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1800DF"/>
    <w:multiLevelType w:val="hybridMultilevel"/>
    <w:tmpl w:val="B434AF6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C005FD"/>
    <w:multiLevelType w:val="hybridMultilevel"/>
    <w:tmpl w:val="D8328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6B6E27"/>
    <w:multiLevelType w:val="hybridMultilevel"/>
    <w:tmpl w:val="21D0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D63858"/>
    <w:multiLevelType w:val="multilevel"/>
    <w:tmpl w:val="9A6A5E82"/>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715D81"/>
    <w:multiLevelType w:val="hybridMultilevel"/>
    <w:tmpl w:val="CFC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741B2"/>
    <w:multiLevelType w:val="multilevel"/>
    <w:tmpl w:val="239C6ED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6B90E7C"/>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8794907"/>
    <w:multiLevelType w:val="hybridMultilevel"/>
    <w:tmpl w:val="AD3C47C8"/>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211ECA"/>
    <w:multiLevelType w:val="hybridMultilevel"/>
    <w:tmpl w:val="A6907B4C"/>
    <w:lvl w:ilvl="0" w:tplc="BBFAF9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963C4D"/>
    <w:multiLevelType w:val="multilevel"/>
    <w:tmpl w:val="1BA62F0C"/>
    <w:lvl w:ilvl="0">
      <w:start w:val="1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3BEE5597"/>
    <w:multiLevelType w:val="hybridMultilevel"/>
    <w:tmpl w:val="A530D2D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CEF4B07"/>
    <w:multiLevelType w:val="hybridMultilevel"/>
    <w:tmpl w:val="3968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FB40DA0"/>
    <w:multiLevelType w:val="hybridMultilevel"/>
    <w:tmpl w:val="AC5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ED3D54"/>
    <w:multiLevelType w:val="hybridMultilevel"/>
    <w:tmpl w:val="E49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0B18D0"/>
    <w:multiLevelType w:val="hybridMultilevel"/>
    <w:tmpl w:val="FE88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602D7D"/>
    <w:multiLevelType w:val="hybridMultilevel"/>
    <w:tmpl w:val="B6683BC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FE32F2"/>
    <w:multiLevelType w:val="hybridMultilevel"/>
    <w:tmpl w:val="5F524086"/>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F6F2634"/>
    <w:multiLevelType w:val="multilevel"/>
    <w:tmpl w:val="C898F974"/>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03E1811"/>
    <w:multiLevelType w:val="multilevel"/>
    <w:tmpl w:val="F9F27836"/>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start w:val="1"/>
      <w:numFmt w:val="decimal"/>
      <w:lvlText w:val="%1.5.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32F6757"/>
    <w:multiLevelType w:val="hybridMultilevel"/>
    <w:tmpl w:val="814CEA16"/>
    <w:lvl w:ilvl="0" w:tplc="04090005">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291227"/>
    <w:multiLevelType w:val="multilevel"/>
    <w:tmpl w:val="292AB534"/>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numFmt w:val="decimal"/>
      <w:lvlText w:val="%1.5.1"/>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AA10CD0"/>
    <w:multiLevelType w:val="hybridMultilevel"/>
    <w:tmpl w:val="6D108CFE"/>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AF10848"/>
    <w:multiLevelType w:val="multilevel"/>
    <w:tmpl w:val="CDA839EE"/>
    <w:lvl w:ilvl="0">
      <w:start w:val="1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C7E0622"/>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DDB6F13"/>
    <w:multiLevelType w:val="multilevel"/>
    <w:tmpl w:val="DEF6435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5ECD34FE"/>
    <w:multiLevelType w:val="hybridMultilevel"/>
    <w:tmpl w:val="68BA223C"/>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1CD361C"/>
    <w:multiLevelType w:val="multilevel"/>
    <w:tmpl w:val="06A2F7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62146419"/>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6A712C58"/>
    <w:multiLevelType w:val="hybridMultilevel"/>
    <w:tmpl w:val="F4BC61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0">
    <w:nsid w:val="6D354ADC"/>
    <w:multiLevelType w:val="hybridMultilevel"/>
    <w:tmpl w:val="426C74B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10F0A24"/>
    <w:multiLevelType w:val="multilevel"/>
    <w:tmpl w:val="6C3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1A75932"/>
    <w:multiLevelType w:val="hybridMultilevel"/>
    <w:tmpl w:val="5DB8D3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3">
    <w:nsid w:val="725440E5"/>
    <w:multiLevelType w:val="multilevel"/>
    <w:tmpl w:val="A7841A22"/>
    <w:lvl w:ilvl="0">
      <w:start w:val="19"/>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nsid w:val="75116485"/>
    <w:multiLevelType w:val="hybridMultilevel"/>
    <w:tmpl w:val="FA58B2DE"/>
    <w:lvl w:ilvl="0" w:tplc="005C1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5812577"/>
    <w:multiLevelType w:val="hybridMultilevel"/>
    <w:tmpl w:val="D9BC8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901666C"/>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nsid w:val="79352981"/>
    <w:multiLevelType w:val="hybridMultilevel"/>
    <w:tmpl w:val="DC90F9DE"/>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EF72B24"/>
    <w:multiLevelType w:val="hybridMultilevel"/>
    <w:tmpl w:val="8F647E7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4"/>
  </w:num>
  <w:num w:numId="3">
    <w:abstractNumId w:val="34"/>
  </w:num>
  <w:num w:numId="4">
    <w:abstractNumId w:val="54"/>
  </w:num>
  <w:num w:numId="5">
    <w:abstractNumId w:val="24"/>
  </w:num>
  <w:num w:numId="6">
    <w:abstractNumId w:val="46"/>
  </w:num>
  <w:num w:numId="7">
    <w:abstractNumId w:val="14"/>
  </w:num>
  <w:num w:numId="8">
    <w:abstractNumId w:val="35"/>
  </w:num>
  <w:num w:numId="9">
    <w:abstractNumId w:val="57"/>
  </w:num>
  <w:num w:numId="10">
    <w:abstractNumId w:val="58"/>
  </w:num>
  <w:num w:numId="11">
    <w:abstractNumId w:val="8"/>
  </w:num>
  <w:num w:numId="12">
    <w:abstractNumId w:val="8"/>
    <w:lvlOverride w:ilvl="0">
      <w:startOverride w:val="1"/>
    </w:lvlOverride>
    <w:lvlOverride w:ilvl="1">
      <w:startOverride w:val="2"/>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4">
    <w:abstractNumId w:val="19"/>
  </w:num>
  <w:num w:numId="15">
    <w:abstractNumId w:val="25"/>
  </w:num>
  <w:num w:numId="16">
    <w:abstractNumId w:val="31"/>
  </w:num>
  <w:num w:numId="17">
    <w:abstractNumId w:val="23"/>
  </w:num>
  <w:num w:numId="18">
    <w:abstractNumId w:val="2"/>
  </w:num>
  <w:num w:numId="19">
    <w:abstractNumId w:val="1"/>
  </w:num>
  <w:num w:numId="20">
    <w:abstractNumId w:val="9"/>
  </w:num>
  <w:num w:numId="21">
    <w:abstractNumId w:val="12"/>
  </w:num>
  <w:num w:numId="22">
    <w:abstractNumId w:val="37"/>
  </w:num>
  <w:num w:numId="23">
    <w:abstractNumId w:val="17"/>
  </w:num>
  <w:num w:numId="24">
    <w:abstractNumId w:val="7"/>
  </w:num>
  <w:num w:numId="25">
    <w:abstractNumId w:val="4"/>
  </w:num>
  <w:num w:numId="26">
    <w:abstractNumId w:val="13"/>
  </w:num>
  <w:num w:numId="27">
    <w:abstractNumId w:val="55"/>
  </w:num>
  <w:num w:numId="28">
    <w:abstractNumId w:val="48"/>
  </w:num>
  <w:num w:numId="29">
    <w:abstractNumId w:val="49"/>
  </w:num>
  <w:num w:numId="30">
    <w:abstractNumId w:val="42"/>
  </w:num>
  <w:num w:numId="31">
    <w:abstractNumId w:val="29"/>
  </w:num>
  <w:num w:numId="32">
    <w:abstractNumId w:val="53"/>
  </w:num>
  <w:num w:numId="33">
    <w:abstractNumId w:val="39"/>
  </w:num>
  <w:num w:numId="34">
    <w:abstractNumId w:val="22"/>
  </w:num>
  <w:num w:numId="35">
    <w:abstractNumId w:val="10"/>
  </w:num>
  <w:num w:numId="36">
    <w:abstractNumId w:val="18"/>
  </w:num>
  <w:num w:numId="37">
    <w:abstractNumId w:val="51"/>
  </w:num>
  <w:num w:numId="38">
    <w:abstractNumId w:val="27"/>
  </w:num>
  <w:num w:numId="39">
    <w:abstractNumId w:val="47"/>
  </w:num>
  <w:num w:numId="40">
    <w:abstractNumId w:val="15"/>
  </w:num>
  <w:num w:numId="41">
    <w:abstractNumId w:val="38"/>
  </w:num>
  <w:num w:numId="42">
    <w:abstractNumId w:val="36"/>
  </w:num>
  <w:num w:numId="43">
    <w:abstractNumId w:val="50"/>
  </w:num>
  <w:num w:numId="44">
    <w:abstractNumId w:val="40"/>
  </w:num>
  <w:num w:numId="45">
    <w:abstractNumId w:val="5"/>
  </w:num>
  <w:num w:numId="46">
    <w:abstractNumId w:val="16"/>
  </w:num>
  <w:num w:numId="47">
    <w:abstractNumId w:val="30"/>
  </w:num>
  <w:num w:numId="48">
    <w:abstractNumId w:val="3"/>
  </w:num>
  <w:num w:numId="49">
    <w:abstractNumId w:val="32"/>
  </w:num>
  <w:num w:numId="50">
    <w:abstractNumId w:val="0"/>
  </w:num>
  <w:num w:numId="51">
    <w:abstractNumId w:val="41"/>
  </w:num>
  <w:num w:numId="52">
    <w:abstractNumId w:val="52"/>
  </w:num>
  <w:num w:numId="53">
    <w:abstractNumId w:val="21"/>
  </w:num>
  <w:num w:numId="54">
    <w:abstractNumId w:val="33"/>
  </w:num>
  <w:num w:numId="55">
    <w:abstractNumId w:val="45"/>
  </w:num>
  <w:num w:numId="56">
    <w:abstractNumId w:val="26"/>
  </w:num>
  <w:num w:numId="57">
    <w:abstractNumId w:val="43"/>
  </w:num>
  <w:num w:numId="58">
    <w:abstractNumId w:val="56"/>
  </w:num>
  <w:num w:numId="59">
    <w:abstractNumId w:val="11"/>
  </w:num>
  <w:num w:numId="60">
    <w:abstractNumId w:val="6"/>
  </w:num>
  <w:num w:numId="61">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3C6D"/>
    <w:rsid w:val="00005220"/>
    <w:rsid w:val="00005E1B"/>
    <w:rsid w:val="0000616D"/>
    <w:rsid w:val="0000619F"/>
    <w:rsid w:val="00010DFD"/>
    <w:rsid w:val="0001162E"/>
    <w:rsid w:val="00011AB1"/>
    <w:rsid w:val="000128ED"/>
    <w:rsid w:val="00017A25"/>
    <w:rsid w:val="0002029F"/>
    <w:rsid w:val="00020706"/>
    <w:rsid w:val="0002135B"/>
    <w:rsid w:val="000221AB"/>
    <w:rsid w:val="000229A7"/>
    <w:rsid w:val="00023339"/>
    <w:rsid w:val="00023764"/>
    <w:rsid w:val="00024E95"/>
    <w:rsid w:val="00025958"/>
    <w:rsid w:val="0002617D"/>
    <w:rsid w:val="0002687F"/>
    <w:rsid w:val="00026935"/>
    <w:rsid w:val="00030BF1"/>
    <w:rsid w:val="00031856"/>
    <w:rsid w:val="000323B3"/>
    <w:rsid w:val="00032551"/>
    <w:rsid w:val="00032D23"/>
    <w:rsid w:val="00034EBF"/>
    <w:rsid w:val="00040596"/>
    <w:rsid w:val="00041A3B"/>
    <w:rsid w:val="00042390"/>
    <w:rsid w:val="00043615"/>
    <w:rsid w:val="00046809"/>
    <w:rsid w:val="00047467"/>
    <w:rsid w:val="0004785B"/>
    <w:rsid w:val="00050170"/>
    <w:rsid w:val="00056F8D"/>
    <w:rsid w:val="000609A9"/>
    <w:rsid w:val="00063F9E"/>
    <w:rsid w:val="000651EF"/>
    <w:rsid w:val="000652AF"/>
    <w:rsid w:val="00066F68"/>
    <w:rsid w:val="00070CCA"/>
    <w:rsid w:val="000750CC"/>
    <w:rsid w:val="00075B4F"/>
    <w:rsid w:val="00076A0E"/>
    <w:rsid w:val="00081B1A"/>
    <w:rsid w:val="00084526"/>
    <w:rsid w:val="0009259E"/>
    <w:rsid w:val="000940DE"/>
    <w:rsid w:val="00095402"/>
    <w:rsid w:val="00095518"/>
    <w:rsid w:val="00095598"/>
    <w:rsid w:val="000959F7"/>
    <w:rsid w:val="00096728"/>
    <w:rsid w:val="000A0488"/>
    <w:rsid w:val="000A16A4"/>
    <w:rsid w:val="000A17A0"/>
    <w:rsid w:val="000A7527"/>
    <w:rsid w:val="000A757E"/>
    <w:rsid w:val="000B11AA"/>
    <w:rsid w:val="000B2FA4"/>
    <w:rsid w:val="000B31EF"/>
    <w:rsid w:val="000B404D"/>
    <w:rsid w:val="000B53DC"/>
    <w:rsid w:val="000B5DDD"/>
    <w:rsid w:val="000B5EB7"/>
    <w:rsid w:val="000C09EA"/>
    <w:rsid w:val="000C0C56"/>
    <w:rsid w:val="000C2E74"/>
    <w:rsid w:val="000C3A21"/>
    <w:rsid w:val="000C7A19"/>
    <w:rsid w:val="000D04A9"/>
    <w:rsid w:val="000D065F"/>
    <w:rsid w:val="000D19F2"/>
    <w:rsid w:val="000D35A0"/>
    <w:rsid w:val="000D5DB9"/>
    <w:rsid w:val="000D7056"/>
    <w:rsid w:val="000E1B73"/>
    <w:rsid w:val="000E48AB"/>
    <w:rsid w:val="000E48BE"/>
    <w:rsid w:val="000E491F"/>
    <w:rsid w:val="000E505D"/>
    <w:rsid w:val="000E579D"/>
    <w:rsid w:val="000F07B6"/>
    <w:rsid w:val="000F0B3E"/>
    <w:rsid w:val="000F22A7"/>
    <w:rsid w:val="000F28A2"/>
    <w:rsid w:val="000F436D"/>
    <w:rsid w:val="000F4AC6"/>
    <w:rsid w:val="000F51B9"/>
    <w:rsid w:val="001026F4"/>
    <w:rsid w:val="00102FD5"/>
    <w:rsid w:val="00111ABF"/>
    <w:rsid w:val="00114264"/>
    <w:rsid w:val="0011544E"/>
    <w:rsid w:val="0011564E"/>
    <w:rsid w:val="00116277"/>
    <w:rsid w:val="001200EF"/>
    <w:rsid w:val="00121A6B"/>
    <w:rsid w:val="0012204B"/>
    <w:rsid w:val="00125826"/>
    <w:rsid w:val="00126075"/>
    <w:rsid w:val="00126BF0"/>
    <w:rsid w:val="00127220"/>
    <w:rsid w:val="001273CF"/>
    <w:rsid w:val="001303CF"/>
    <w:rsid w:val="00130EF0"/>
    <w:rsid w:val="001313B2"/>
    <w:rsid w:val="00131C2A"/>
    <w:rsid w:val="00131D3F"/>
    <w:rsid w:val="001338CD"/>
    <w:rsid w:val="00134187"/>
    <w:rsid w:val="00134DAF"/>
    <w:rsid w:val="00135B1C"/>
    <w:rsid w:val="00137CD7"/>
    <w:rsid w:val="001403BF"/>
    <w:rsid w:val="0014274A"/>
    <w:rsid w:val="001435F8"/>
    <w:rsid w:val="001509FF"/>
    <w:rsid w:val="00153CC9"/>
    <w:rsid w:val="00154EC1"/>
    <w:rsid w:val="001578EF"/>
    <w:rsid w:val="0015791C"/>
    <w:rsid w:val="001615AA"/>
    <w:rsid w:val="00162A50"/>
    <w:rsid w:val="00165456"/>
    <w:rsid w:val="00165832"/>
    <w:rsid w:val="00165DCF"/>
    <w:rsid w:val="00166A8D"/>
    <w:rsid w:val="001719E4"/>
    <w:rsid w:val="001732C8"/>
    <w:rsid w:val="0018212A"/>
    <w:rsid w:val="001845E1"/>
    <w:rsid w:val="00184AEA"/>
    <w:rsid w:val="00184D3A"/>
    <w:rsid w:val="00185F1E"/>
    <w:rsid w:val="00186C94"/>
    <w:rsid w:val="00190698"/>
    <w:rsid w:val="0019227B"/>
    <w:rsid w:val="00192E0C"/>
    <w:rsid w:val="001A1115"/>
    <w:rsid w:val="001A1DDD"/>
    <w:rsid w:val="001A2CE1"/>
    <w:rsid w:val="001A4A33"/>
    <w:rsid w:val="001A6E4B"/>
    <w:rsid w:val="001B2146"/>
    <w:rsid w:val="001B39E8"/>
    <w:rsid w:val="001B472F"/>
    <w:rsid w:val="001B4A3C"/>
    <w:rsid w:val="001C0CC6"/>
    <w:rsid w:val="001C0FBD"/>
    <w:rsid w:val="001C17AC"/>
    <w:rsid w:val="001C2544"/>
    <w:rsid w:val="001C3E97"/>
    <w:rsid w:val="001C4321"/>
    <w:rsid w:val="001C63EE"/>
    <w:rsid w:val="001D3540"/>
    <w:rsid w:val="001D64F5"/>
    <w:rsid w:val="001D64F7"/>
    <w:rsid w:val="001E0ACE"/>
    <w:rsid w:val="001E0C93"/>
    <w:rsid w:val="001E715D"/>
    <w:rsid w:val="001E7498"/>
    <w:rsid w:val="001F0FC4"/>
    <w:rsid w:val="001F45D6"/>
    <w:rsid w:val="00200FB2"/>
    <w:rsid w:val="00203263"/>
    <w:rsid w:val="002042DB"/>
    <w:rsid w:val="0020531A"/>
    <w:rsid w:val="00206899"/>
    <w:rsid w:val="00206DCC"/>
    <w:rsid w:val="0021506F"/>
    <w:rsid w:val="002154FC"/>
    <w:rsid w:val="00215B72"/>
    <w:rsid w:val="00217C0B"/>
    <w:rsid w:val="00217E2B"/>
    <w:rsid w:val="00220359"/>
    <w:rsid w:val="00222605"/>
    <w:rsid w:val="00230572"/>
    <w:rsid w:val="00231152"/>
    <w:rsid w:val="00233263"/>
    <w:rsid w:val="00233C13"/>
    <w:rsid w:val="00234930"/>
    <w:rsid w:val="0024068E"/>
    <w:rsid w:val="00241797"/>
    <w:rsid w:val="00244560"/>
    <w:rsid w:val="00244720"/>
    <w:rsid w:val="00244833"/>
    <w:rsid w:val="00245F0F"/>
    <w:rsid w:val="00246959"/>
    <w:rsid w:val="00247172"/>
    <w:rsid w:val="00247360"/>
    <w:rsid w:val="00247926"/>
    <w:rsid w:val="002505DA"/>
    <w:rsid w:val="00252493"/>
    <w:rsid w:val="00253115"/>
    <w:rsid w:val="0025321D"/>
    <w:rsid w:val="002542E7"/>
    <w:rsid w:val="00255469"/>
    <w:rsid w:val="002631F7"/>
    <w:rsid w:val="0027349C"/>
    <w:rsid w:val="00274D93"/>
    <w:rsid w:val="00284C51"/>
    <w:rsid w:val="0028799E"/>
    <w:rsid w:val="00290136"/>
    <w:rsid w:val="00291FE2"/>
    <w:rsid w:val="00293B4A"/>
    <w:rsid w:val="002968D7"/>
    <w:rsid w:val="0029744F"/>
    <w:rsid w:val="002974B7"/>
    <w:rsid w:val="002A067C"/>
    <w:rsid w:val="002A2093"/>
    <w:rsid w:val="002A4B27"/>
    <w:rsid w:val="002A7B4C"/>
    <w:rsid w:val="002B366D"/>
    <w:rsid w:val="002B3E42"/>
    <w:rsid w:val="002B5FB8"/>
    <w:rsid w:val="002B6505"/>
    <w:rsid w:val="002B7969"/>
    <w:rsid w:val="002B7A0D"/>
    <w:rsid w:val="002B7E1A"/>
    <w:rsid w:val="002C03B1"/>
    <w:rsid w:val="002C18E1"/>
    <w:rsid w:val="002C2CF2"/>
    <w:rsid w:val="002C5289"/>
    <w:rsid w:val="002C7FB6"/>
    <w:rsid w:val="002D177E"/>
    <w:rsid w:val="002D21FB"/>
    <w:rsid w:val="002D4E57"/>
    <w:rsid w:val="002D6C5B"/>
    <w:rsid w:val="002D6D93"/>
    <w:rsid w:val="002E0AB4"/>
    <w:rsid w:val="002E1CA3"/>
    <w:rsid w:val="002E216A"/>
    <w:rsid w:val="002E2534"/>
    <w:rsid w:val="002E45C2"/>
    <w:rsid w:val="002F146C"/>
    <w:rsid w:val="002F1AE5"/>
    <w:rsid w:val="002F3329"/>
    <w:rsid w:val="002F3690"/>
    <w:rsid w:val="002F4ACE"/>
    <w:rsid w:val="002F5F73"/>
    <w:rsid w:val="002F6760"/>
    <w:rsid w:val="002F6A7D"/>
    <w:rsid w:val="003019DE"/>
    <w:rsid w:val="0030476E"/>
    <w:rsid w:val="003055EB"/>
    <w:rsid w:val="00305C3B"/>
    <w:rsid w:val="003079AF"/>
    <w:rsid w:val="003139AF"/>
    <w:rsid w:val="00314596"/>
    <w:rsid w:val="00315735"/>
    <w:rsid w:val="0032151B"/>
    <w:rsid w:val="00323858"/>
    <w:rsid w:val="00325BEF"/>
    <w:rsid w:val="003270E3"/>
    <w:rsid w:val="00333245"/>
    <w:rsid w:val="003350E7"/>
    <w:rsid w:val="00335C92"/>
    <w:rsid w:val="0034254E"/>
    <w:rsid w:val="0034385E"/>
    <w:rsid w:val="00343AF3"/>
    <w:rsid w:val="00344902"/>
    <w:rsid w:val="0034699E"/>
    <w:rsid w:val="00346F59"/>
    <w:rsid w:val="003473DB"/>
    <w:rsid w:val="00350E67"/>
    <w:rsid w:val="00355B3A"/>
    <w:rsid w:val="003608F9"/>
    <w:rsid w:val="00365F83"/>
    <w:rsid w:val="00373ECB"/>
    <w:rsid w:val="0037737D"/>
    <w:rsid w:val="00381400"/>
    <w:rsid w:val="003836AA"/>
    <w:rsid w:val="00385AB9"/>
    <w:rsid w:val="00386E4A"/>
    <w:rsid w:val="00387FBC"/>
    <w:rsid w:val="00391524"/>
    <w:rsid w:val="003925EF"/>
    <w:rsid w:val="0039339F"/>
    <w:rsid w:val="00394FF0"/>
    <w:rsid w:val="00396741"/>
    <w:rsid w:val="00397389"/>
    <w:rsid w:val="003A084D"/>
    <w:rsid w:val="003A0951"/>
    <w:rsid w:val="003A252A"/>
    <w:rsid w:val="003A27D8"/>
    <w:rsid w:val="003A4B86"/>
    <w:rsid w:val="003A774B"/>
    <w:rsid w:val="003A7B2F"/>
    <w:rsid w:val="003B6F48"/>
    <w:rsid w:val="003C1ECB"/>
    <w:rsid w:val="003C3BD8"/>
    <w:rsid w:val="003C43AD"/>
    <w:rsid w:val="003D02A4"/>
    <w:rsid w:val="003D34E1"/>
    <w:rsid w:val="003D43B8"/>
    <w:rsid w:val="003D633F"/>
    <w:rsid w:val="003D6569"/>
    <w:rsid w:val="003E0B8D"/>
    <w:rsid w:val="003E162C"/>
    <w:rsid w:val="003E2295"/>
    <w:rsid w:val="003E3397"/>
    <w:rsid w:val="003E4330"/>
    <w:rsid w:val="003E67B3"/>
    <w:rsid w:val="003E709D"/>
    <w:rsid w:val="003F19E2"/>
    <w:rsid w:val="00400AA2"/>
    <w:rsid w:val="00401DA6"/>
    <w:rsid w:val="00402848"/>
    <w:rsid w:val="0040344B"/>
    <w:rsid w:val="0040574F"/>
    <w:rsid w:val="004107A7"/>
    <w:rsid w:val="00414A5D"/>
    <w:rsid w:val="00414D2B"/>
    <w:rsid w:val="00414E57"/>
    <w:rsid w:val="0041695D"/>
    <w:rsid w:val="00417A44"/>
    <w:rsid w:val="00421298"/>
    <w:rsid w:val="00422DDE"/>
    <w:rsid w:val="00425556"/>
    <w:rsid w:val="0043664C"/>
    <w:rsid w:val="0043731F"/>
    <w:rsid w:val="004454EE"/>
    <w:rsid w:val="00453BDB"/>
    <w:rsid w:val="00457FD5"/>
    <w:rsid w:val="004630ED"/>
    <w:rsid w:val="00467840"/>
    <w:rsid w:val="00467C74"/>
    <w:rsid w:val="00470164"/>
    <w:rsid w:val="00470E24"/>
    <w:rsid w:val="00473535"/>
    <w:rsid w:val="00473881"/>
    <w:rsid w:val="00481B69"/>
    <w:rsid w:val="004820D7"/>
    <w:rsid w:val="00482FBC"/>
    <w:rsid w:val="00485D8A"/>
    <w:rsid w:val="004876C9"/>
    <w:rsid w:val="00490D63"/>
    <w:rsid w:val="004912F4"/>
    <w:rsid w:val="0049630F"/>
    <w:rsid w:val="004A01B2"/>
    <w:rsid w:val="004A3158"/>
    <w:rsid w:val="004B23F3"/>
    <w:rsid w:val="004B676F"/>
    <w:rsid w:val="004B6F1E"/>
    <w:rsid w:val="004C0DF5"/>
    <w:rsid w:val="004C1C58"/>
    <w:rsid w:val="004C23E2"/>
    <w:rsid w:val="004C38B5"/>
    <w:rsid w:val="004C6779"/>
    <w:rsid w:val="004D0752"/>
    <w:rsid w:val="004D22CE"/>
    <w:rsid w:val="004D5B63"/>
    <w:rsid w:val="004D6BA4"/>
    <w:rsid w:val="004D7A1B"/>
    <w:rsid w:val="004E00D4"/>
    <w:rsid w:val="004E01E8"/>
    <w:rsid w:val="004E0719"/>
    <w:rsid w:val="004E1A04"/>
    <w:rsid w:val="004E2A45"/>
    <w:rsid w:val="004E3B71"/>
    <w:rsid w:val="004E4609"/>
    <w:rsid w:val="004E7386"/>
    <w:rsid w:val="004E79E6"/>
    <w:rsid w:val="004F38E5"/>
    <w:rsid w:val="004F4E44"/>
    <w:rsid w:val="004F4E5B"/>
    <w:rsid w:val="0050105D"/>
    <w:rsid w:val="005030ED"/>
    <w:rsid w:val="0050526D"/>
    <w:rsid w:val="005057E7"/>
    <w:rsid w:val="00511469"/>
    <w:rsid w:val="00513BB0"/>
    <w:rsid w:val="005144EB"/>
    <w:rsid w:val="00514650"/>
    <w:rsid w:val="00516A7C"/>
    <w:rsid w:val="005205FC"/>
    <w:rsid w:val="00520E36"/>
    <w:rsid w:val="00522891"/>
    <w:rsid w:val="0052371A"/>
    <w:rsid w:val="00526438"/>
    <w:rsid w:val="005324F4"/>
    <w:rsid w:val="00535D52"/>
    <w:rsid w:val="0053703A"/>
    <w:rsid w:val="00540A57"/>
    <w:rsid w:val="00540CFD"/>
    <w:rsid w:val="00542068"/>
    <w:rsid w:val="00543BCA"/>
    <w:rsid w:val="00545235"/>
    <w:rsid w:val="00547AA6"/>
    <w:rsid w:val="00550C4A"/>
    <w:rsid w:val="00551200"/>
    <w:rsid w:val="00552BE4"/>
    <w:rsid w:val="00554155"/>
    <w:rsid w:val="005547E4"/>
    <w:rsid w:val="00557E17"/>
    <w:rsid w:val="0056094C"/>
    <w:rsid w:val="00561BA6"/>
    <w:rsid w:val="00563201"/>
    <w:rsid w:val="0056327C"/>
    <w:rsid w:val="00564648"/>
    <w:rsid w:val="0056492E"/>
    <w:rsid w:val="00564FF6"/>
    <w:rsid w:val="005663BF"/>
    <w:rsid w:val="00567111"/>
    <w:rsid w:val="00570C6E"/>
    <w:rsid w:val="00572280"/>
    <w:rsid w:val="00572ED0"/>
    <w:rsid w:val="00574391"/>
    <w:rsid w:val="0057680B"/>
    <w:rsid w:val="00582F1E"/>
    <w:rsid w:val="00583D78"/>
    <w:rsid w:val="00591449"/>
    <w:rsid w:val="005923C2"/>
    <w:rsid w:val="00595A1D"/>
    <w:rsid w:val="005A0C61"/>
    <w:rsid w:val="005A183A"/>
    <w:rsid w:val="005A365A"/>
    <w:rsid w:val="005A76A6"/>
    <w:rsid w:val="005B11C7"/>
    <w:rsid w:val="005B3771"/>
    <w:rsid w:val="005B3CDB"/>
    <w:rsid w:val="005B4346"/>
    <w:rsid w:val="005B6C42"/>
    <w:rsid w:val="005B79EF"/>
    <w:rsid w:val="005C2E6C"/>
    <w:rsid w:val="005C5C12"/>
    <w:rsid w:val="005D11EF"/>
    <w:rsid w:val="005D2EF2"/>
    <w:rsid w:val="005D4B1C"/>
    <w:rsid w:val="005D6853"/>
    <w:rsid w:val="005E18FA"/>
    <w:rsid w:val="005E1C18"/>
    <w:rsid w:val="005E37B9"/>
    <w:rsid w:val="005E42F7"/>
    <w:rsid w:val="005E503E"/>
    <w:rsid w:val="005E6CEA"/>
    <w:rsid w:val="005F03D8"/>
    <w:rsid w:val="005F26A6"/>
    <w:rsid w:val="005F5EC4"/>
    <w:rsid w:val="005F60E7"/>
    <w:rsid w:val="005F7EFF"/>
    <w:rsid w:val="00607C53"/>
    <w:rsid w:val="00610D92"/>
    <w:rsid w:val="00611CFA"/>
    <w:rsid w:val="00612200"/>
    <w:rsid w:val="00614BC8"/>
    <w:rsid w:val="006150FE"/>
    <w:rsid w:val="006155CA"/>
    <w:rsid w:val="00615B8D"/>
    <w:rsid w:val="00620A9A"/>
    <w:rsid w:val="0062563C"/>
    <w:rsid w:val="0063340F"/>
    <w:rsid w:val="006337AF"/>
    <w:rsid w:val="006478B3"/>
    <w:rsid w:val="00650C20"/>
    <w:rsid w:val="006517F1"/>
    <w:rsid w:val="006518E0"/>
    <w:rsid w:val="006524A7"/>
    <w:rsid w:val="0065251C"/>
    <w:rsid w:val="00652C36"/>
    <w:rsid w:val="0066117F"/>
    <w:rsid w:val="00661657"/>
    <w:rsid w:val="006621C2"/>
    <w:rsid w:val="00665014"/>
    <w:rsid w:val="0066716A"/>
    <w:rsid w:val="006702AE"/>
    <w:rsid w:val="0067426C"/>
    <w:rsid w:val="00674E5F"/>
    <w:rsid w:val="00675306"/>
    <w:rsid w:val="00675FF3"/>
    <w:rsid w:val="00680B00"/>
    <w:rsid w:val="0068155B"/>
    <w:rsid w:val="00682906"/>
    <w:rsid w:val="006845D3"/>
    <w:rsid w:val="00686B9A"/>
    <w:rsid w:val="00687814"/>
    <w:rsid w:val="00690635"/>
    <w:rsid w:val="006928F4"/>
    <w:rsid w:val="00695136"/>
    <w:rsid w:val="006951F8"/>
    <w:rsid w:val="00695B02"/>
    <w:rsid w:val="00697525"/>
    <w:rsid w:val="00697A98"/>
    <w:rsid w:val="006A0BB1"/>
    <w:rsid w:val="006A1B4C"/>
    <w:rsid w:val="006A3D63"/>
    <w:rsid w:val="006A7C5C"/>
    <w:rsid w:val="006B0195"/>
    <w:rsid w:val="006B25AC"/>
    <w:rsid w:val="006B5EF4"/>
    <w:rsid w:val="006C021D"/>
    <w:rsid w:val="006C4ED7"/>
    <w:rsid w:val="006C7DB5"/>
    <w:rsid w:val="006D11D0"/>
    <w:rsid w:val="006D5C49"/>
    <w:rsid w:val="006D6D4C"/>
    <w:rsid w:val="006E0E99"/>
    <w:rsid w:val="006E30B5"/>
    <w:rsid w:val="006E3FB2"/>
    <w:rsid w:val="006E4C58"/>
    <w:rsid w:val="006E7B46"/>
    <w:rsid w:val="006F28E3"/>
    <w:rsid w:val="006F3DBC"/>
    <w:rsid w:val="006F3E28"/>
    <w:rsid w:val="006F3EE7"/>
    <w:rsid w:val="006F428F"/>
    <w:rsid w:val="006F4DF9"/>
    <w:rsid w:val="006F5CCE"/>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E99"/>
    <w:rsid w:val="00724592"/>
    <w:rsid w:val="00724D83"/>
    <w:rsid w:val="00727D65"/>
    <w:rsid w:val="007315D5"/>
    <w:rsid w:val="0073288C"/>
    <w:rsid w:val="00734A65"/>
    <w:rsid w:val="007361D8"/>
    <w:rsid w:val="00737B71"/>
    <w:rsid w:val="00743CC5"/>
    <w:rsid w:val="00744A6C"/>
    <w:rsid w:val="007455C8"/>
    <w:rsid w:val="00746561"/>
    <w:rsid w:val="00746A60"/>
    <w:rsid w:val="007471E9"/>
    <w:rsid w:val="00747FDA"/>
    <w:rsid w:val="00751E75"/>
    <w:rsid w:val="00756B85"/>
    <w:rsid w:val="007570F7"/>
    <w:rsid w:val="00757349"/>
    <w:rsid w:val="00761B3B"/>
    <w:rsid w:val="007621AA"/>
    <w:rsid w:val="00764A43"/>
    <w:rsid w:val="007650DE"/>
    <w:rsid w:val="00766774"/>
    <w:rsid w:val="0076778B"/>
    <w:rsid w:val="00770376"/>
    <w:rsid w:val="00771496"/>
    <w:rsid w:val="007739D5"/>
    <w:rsid w:val="00773B92"/>
    <w:rsid w:val="00780E2B"/>
    <w:rsid w:val="00783EF8"/>
    <w:rsid w:val="00783F79"/>
    <w:rsid w:val="00787896"/>
    <w:rsid w:val="00796E47"/>
    <w:rsid w:val="007A1DA3"/>
    <w:rsid w:val="007A33C2"/>
    <w:rsid w:val="007A3688"/>
    <w:rsid w:val="007A782A"/>
    <w:rsid w:val="007B137C"/>
    <w:rsid w:val="007B1905"/>
    <w:rsid w:val="007B1D63"/>
    <w:rsid w:val="007B2625"/>
    <w:rsid w:val="007B318F"/>
    <w:rsid w:val="007B4101"/>
    <w:rsid w:val="007B4D21"/>
    <w:rsid w:val="007B4F3E"/>
    <w:rsid w:val="007C1DD2"/>
    <w:rsid w:val="007D1344"/>
    <w:rsid w:val="007E0C96"/>
    <w:rsid w:val="007E63EA"/>
    <w:rsid w:val="007F124F"/>
    <w:rsid w:val="007F376C"/>
    <w:rsid w:val="007F4206"/>
    <w:rsid w:val="007F44AC"/>
    <w:rsid w:val="007F53EF"/>
    <w:rsid w:val="007F75B0"/>
    <w:rsid w:val="007F7E68"/>
    <w:rsid w:val="00803BA7"/>
    <w:rsid w:val="00803F49"/>
    <w:rsid w:val="00806245"/>
    <w:rsid w:val="0080731A"/>
    <w:rsid w:val="00814C08"/>
    <w:rsid w:val="00815186"/>
    <w:rsid w:val="0081663C"/>
    <w:rsid w:val="00817555"/>
    <w:rsid w:val="00820BEA"/>
    <w:rsid w:val="008229C2"/>
    <w:rsid w:val="00826885"/>
    <w:rsid w:val="008313E0"/>
    <w:rsid w:val="00831DDA"/>
    <w:rsid w:val="008320FB"/>
    <w:rsid w:val="00832377"/>
    <w:rsid w:val="00832D83"/>
    <w:rsid w:val="0083591D"/>
    <w:rsid w:val="00840093"/>
    <w:rsid w:val="00840BC0"/>
    <w:rsid w:val="00842A2A"/>
    <w:rsid w:val="00844253"/>
    <w:rsid w:val="0084440E"/>
    <w:rsid w:val="00847423"/>
    <w:rsid w:val="0085178E"/>
    <w:rsid w:val="00852DDD"/>
    <w:rsid w:val="0085391B"/>
    <w:rsid w:val="0085403D"/>
    <w:rsid w:val="008545AE"/>
    <w:rsid w:val="0085475C"/>
    <w:rsid w:val="008563F4"/>
    <w:rsid w:val="00861AD3"/>
    <w:rsid w:val="008624CA"/>
    <w:rsid w:val="00862DA8"/>
    <w:rsid w:val="008636C7"/>
    <w:rsid w:val="00863958"/>
    <w:rsid w:val="00866CA8"/>
    <w:rsid w:val="00867257"/>
    <w:rsid w:val="00867F72"/>
    <w:rsid w:val="00872A99"/>
    <w:rsid w:val="00873569"/>
    <w:rsid w:val="008742CE"/>
    <w:rsid w:val="00876661"/>
    <w:rsid w:val="00880F69"/>
    <w:rsid w:val="00885B4F"/>
    <w:rsid w:val="00892898"/>
    <w:rsid w:val="00892F96"/>
    <w:rsid w:val="00893C61"/>
    <w:rsid w:val="00895C3A"/>
    <w:rsid w:val="00896EC7"/>
    <w:rsid w:val="008A129F"/>
    <w:rsid w:val="008A23B7"/>
    <w:rsid w:val="008A2449"/>
    <w:rsid w:val="008A5272"/>
    <w:rsid w:val="008B2267"/>
    <w:rsid w:val="008B3066"/>
    <w:rsid w:val="008B3FD1"/>
    <w:rsid w:val="008B4DBD"/>
    <w:rsid w:val="008B560F"/>
    <w:rsid w:val="008B5EDD"/>
    <w:rsid w:val="008B7AFE"/>
    <w:rsid w:val="008C0CC7"/>
    <w:rsid w:val="008C1401"/>
    <w:rsid w:val="008C2744"/>
    <w:rsid w:val="008C4225"/>
    <w:rsid w:val="008C53CF"/>
    <w:rsid w:val="008C7D1E"/>
    <w:rsid w:val="008D1BBB"/>
    <w:rsid w:val="008D2AE4"/>
    <w:rsid w:val="008D2C49"/>
    <w:rsid w:val="008D31FF"/>
    <w:rsid w:val="008E1033"/>
    <w:rsid w:val="008E296D"/>
    <w:rsid w:val="008E577F"/>
    <w:rsid w:val="008E59DC"/>
    <w:rsid w:val="008E6C33"/>
    <w:rsid w:val="008F042E"/>
    <w:rsid w:val="008F0C0D"/>
    <w:rsid w:val="008F236D"/>
    <w:rsid w:val="008F43F0"/>
    <w:rsid w:val="008F5DA3"/>
    <w:rsid w:val="00902485"/>
    <w:rsid w:val="00905D22"/>
    <w:rsid w:val="009063CE"/>
    <w:rsid w:val="0090732C"/>
    <w:rsid w:val="00910634"/>
    <w:rsid w:val="00911677"/>
    <w:rsid w:val="00912424"/>
    <w:rsid w:val="00914FD7"/>
    <w:rsid w:val="00916028"/>
    <w:rsid w:val="0091662E"/>
    <w:rsid w:val="00917B2A"/>
    <w:rsid w:val="009213C7"/>
    <w:rsid w:val="00922E6E"/>
    <w:rsid w:val="009230A5"/>
    <w:rsid w:val="009273C7"/>
    <w:rsid w:val="00927401"/>
    <w:rsid w:val="009276D1"/>
    <w:rsid w:val="00927B5C"/>
    <w:rsid w:val="00932E5C"/>
    <w:rsid w:val="00935B98"/>
    <w:rsid w:val="009378A7"/>
    <w:rsid w:val="00941B3A"/>
    <w:rsid w:val="00944002"/>
    <w:rsid w:val="00944D25"/>
    <w:rsid w:val="0094580A"/>
    <w:rsid w:val="0095002D"/>
    <w:rsid w:val="00950BD4"/>
    <w:rsid w:val="009518D0"/>
    <w:rsid w:val="00956FE0"/>
    <w:rsid w:val="009602AA"/>
    <w:rsid w:val="00962DB4"/>
    <w:rsid w:val="009630C8"/>
    <w:rsid w:val="009644BA"/>
    <w:rsid w:val="009723BE"/>
    <w:rsid w:val="009740EC"/>
    <w:rsid w:val="009803AA"/>
    <w:rsid w:val="0098070F"/>
    <w:rsid w:val="00985B29"/>
    <w:rsid w:val="0099077F"/>
    <w:rsid w:val="0099197B"/>
    <w:rsid w:val="00993DD6"/>
    <w:rsid w:val="00993F8F"/>
    <w:rsid w:val="00996E97"/>
    <w:rsid w:val="00997695"/>
    <w:rsid w:val="009A3F70"/>
    <w:rsid w:val="009A7C0C"/>
    <w:rsid w:val="009B12CF"/>
    <w:rsid w:val="009B45EC"/>
    <w:rsid w:val="009B5BD5"/>
    <w:rsid w:val="009B68AE"/>
    <w:rsid w:val="009B76EC"/>
    <w:rsid w:val="009C24A1"/>
    <w:rsid w:val="009C2BF5"/>
    <w:rsid w:val="009C3A0E"/>
    <w:rsid w:val="009C64E9"/>
    <w:rsid w:val="009C6F1E"/>
    <w:rsid w:val="009C70AC"/>
    <w:rsid w:val="009C7271"/>
    <w:rsid w:val="009D0ED2"/>
    <w:rsid w:val="009D58B0"/>
    <w:rsid w:val="009D5ADB"/>
    <w:rsid w:val="009D6CE2"/>
    <w:rsid w:val="009D72DC"/>
    <w:rsid w:val="009E21B9"/>
    <w:rsid w:val="009E23D1"/>
    <w:rsid w:val="009E33DB"/>
    <w:rsid w:val="009F0666"/>
    <w:rsid w:val="009F0FC5"/>
    <w:rsid w:val="009F181B"/>
    <w:rsid w:val="009F4523"/>
    <w:rsid w:val="009F59BF"/>
    <w:rsid w:val="009F6DAD"/>
    <w:rsid w:val="009F710E"/>
    <w:rsid w:val="00A02E09"/>
    <w:rsid w:val="00A039B5"/>
    <w:rsid w:val="00A0684A"/>
    <w:rsid w:val="00A10B4C"/>
    <w:rsid w:val="00A1175B"/>
    <w:rsid w:val="00A127CA"/>
    <w:rsid w:val="00A17DDB"/>
    <w:rsid w:val="00A20404"/>
    <w:rsid w:val="00A21C7E"/>
    <w:rsid w:val="00A2292C"/>
    <w:rsid w:val="00A2403D"/>
    <w:rsid w:val="00A3277A"/>
    <w:rsid w:val="00A3395C"/>
    <w:rsid w:val="00A36F65"/>
    <w:rsid w:val="00A41FE7"/>
    <w:rsid w:val="00A4211E"/>
    <w:rsid w:val="00A4351D"/>
    <w:rsid w:val="00A44C0D"/>
    <w:rsid w:val="00A504F4"/>
    <w:rsid w:val="00A50F8F"/>
    <w:rsid w:val="00A5228A"/>
    <w:rsid w:val="00A52A72"/>
    <w:rsid w:val="00A535F4"/>
    <w:rsid w:val="00A5462F"/>
    <w:rsid w:val="00A556E8"/>
    <w:rsid w:val="00A577A8"/>
    <w:rsid w:val="00A57CB8"/>
    <w:rsid w:val="00A60D1B"/>
    <w:rsid w:val="00A623B4"/>
    <w:rsid w:val="00A653C6"/>
    <w:rsid w:val="00A655EA"/>
    <w:rsid w:val="00A658D0"/>
    <w:rsid w:val="00A65A22"/>
    <w:rsid w:val="00A76BE0"/>
    <w:rsid w:val="00A82538"/>
    <w:rsid w:val="00A844CE"/>
    <w:rsid w:val="00A8668D"/>
    <w:rsid w:val="00A87BA0"/>
    <w:rsid w:val="00A961DD"/>
    <w:rsid w:val="00A9638A"/>
    <w:rsid w:val="00A979C1"/>
    <w:rsid w:val="00AA084A"/>
    <w:rsid w:val="00AA0D66"/>
    <w:rsid w:val="00AA3FCB"/>
    <w:rsid w:val="00AB3596"/>
    <w:rsid w:val="00AB431D"/>
    <w:rsid w:val="00AB643F"/>
    <w:rsid w:val="00AC1CB0"/>
    <w:rsid w:val="00AC4359"/>
    <w:rsid w:val="00AC7358"/>
    <w:rsid w:val="00AD130D"/>
    <w:rsid w:val="00AD1D31"/>
    <w:rsid w:val="00AD6ABB"/>
    <w:rsid w:val="00AE3016"/>
    <w:rsid w:val="00AE31D7"/>
    <w:rsid w:val="00AE367F"/>
    <w:rsid w:val="00AE4829"/>
    <w:rsid w:val="00AF52DB"/>
    <w:rsid w:val="00AF5F3A"/>
    <w:rsid w:val="00AF6183"/>
    <w:rsid w:val="00B01F19"/>
    <w:rsid w:val="00B0276D"/>
    <w:rsid w:val="00B0568E"/>
    <w:rsid w:val="00B05FC4"/>
    <w:rsid w:val="00B0679F"/>
    <w:rsid w:val="00B07248"/>
    <w:rsid w:val="00B12073"/>
    <w:rsid w:val="00B1653B"/>
    <w:rsid w:val="00B1799E"/>
    <w:rsid w:val="00B21986"/>
    <w:rsid w:val="00B23419"/>
    <w:rsid w:val="00B24968"/>
    <w:rsid w:val="00B25528"/>
    <w:rsid w:val="00B25FD8"/>
    <w:rsid w:val="00B3033A"/>
    <w:rsid w:val="00B3038F"/>
    <w:rsid w:val="00B307B4"/>
    <w:rsid w:val="00B33E07"/>
    <w:rsid w:val="00B34815"/>
    <w:rsid w:val="00B361E2"/>
    <w:rsid w:val="00B37E50"/>
    <w:rsid w:val="00B42C42"/>
    <w:rsid w:val="00B45733"/>
    <w:rsid w:val="00B467C0"/>
    <w:rsid w:val="00B477D3"/>
    <w:rsid w:val="00B56298"/>
    <w:rsid w:val="00B56CF2"/>
    <w:rsid w:val="00B57DBC"/>
    <w:rsid w:val="00B62F51"/>
    <w:rsid w:val="00B63F36"/>
    <w:rsid w:val="00B65216"/>
    <w:rsid w:val="00B65A04"/>
    <w:rsid w:val="00B65E79"/>
    <w:rsid w:val="00B72B4E"/>
    <w:rsid w:val="00B73F50"/>
    <w:rsid w:val="00B7799E"/>
    <w:rsid w:val="00B80AE3"/>
    <w:rsid w:val="00B82467"/>
    <w:rsid w:val="00B83C04"/>
    <w:rsid w:val="00B845D1"/>
    <w:rsid w:val="00B85F9D"/>
    <w:rsid w:val="00B93F1F"/>
    <w:rsid w:val="00BA0973"/>
    <w:rsid w:val="00BA09ED"/>
    <w:rsid w:val="00BA22D9"/>
    <w:rsid w:val="00BB150B"/>
    <w:rsid w:val="00BB412C"/>
    <w:rsid w:val="00BB5242"/>
    <w:rsid w:val="00BB61B8"/>
    <w:rsid w:val="00BB7448"/>
    <w:rsid w:val="00BB798F"/>
    <w:rsid w:val="00BC111C"/>
    <w:rsid w:val="00BC217D"/>
    <w:rsid w:val="00BC72DE"/>
    <w:rsid w:val="00BC74BF"/>
    <w:rsid w:val="00BC7D8D"/>
    <w:rsid w:val="00BD0302"/>
    <w:rsid w:val="00BD3894"/>
    <w:rsid w:val="00BD4373"/>
    <w:rsid w:val="00BD7164"/>
    <w:rsid w:val="00BD730A"/>
    <w:rsid w:val="00BD7A5F"/>
    <w:rsid w:val="00BE15FF"/>
    <w:rsid w:val="00BE3237"/>
    <w:rsid w:val="00BE39A9"/>
    <w:rsid w:val="00BE5676"/>
    <w:rsid w:val="00BE6D9B"/>
    <w:rsid w:val="00BE7E2D"/>
    <w:rsid w:val="00BF25AB"/>
    <w:rsid w:val="00BF5708"/>
    <w:rsid w:val="00BF646E"/>
    <w:rsid w:val="00C04971"/>
    <w:rsid w:val="00C04A44"/>
    <w:rsid w:val="00C04ECE"/>
    <w:rsid w:val="00C05736"/>
    <w:rsid w:val="00C14B07"/>
    <w:rsid w:val="00C154A8"/>
    <w:rsid w:val="00C156B2"/>
    <w:rsid w:val="00C16C66"/>
    <w:rsid w:val="00C21F1E"/>
    <w:rsid w:val="00C24A97"/>
    <w:rsid w:val="00C25CB1"/>
    <w:rsid w:val="00C26446"/>
    <w:rsid w:val="00C303BE"/>
    <w:rsid w:val="00C30826"/>
    <w:rsid w:val="00C31D6A"/>
    <w:rsid w:val="00C353B5"/>
    <w:rsid w:val="00C35934"/>
    <w:rsid w:val="00C41B9E"/>
    <w:rsid w:val="00C50184"/>
    <w:rsid w:val="00C52FEC"/>
    <w:rsid w:val="00C531B4"/>
    <w:rsid w:val="00C555BE"/>
    <w:rsid w:val="00C56760"/>
    <w:rsid w:val="00C63EC8"/>
    <w:rsid w:val="00C644AE"/>
    <w:rsid w:val="00C669C1"/>
    <w:rsid w:val="00C74180"/>
    <w:rsid w:val="00C7626A"/>
    <w:rsid w:val="00C85FB0"/>
    <w:rsid w:val="00C879EA"/>
    <w:rsid w:val="00C87A61"/>
    <w:rsid w:val="00C904B8"/>
    <w:rsid w:val="00C95F02"/>
    <w:rsid w:val="00C97F87"/>
    <w:rsid w:val="00CA00D7"/>
    <w:rsid w:val="00CA09F3"/>
    <w:rsid w:val="00CA13DF"/>
    <w:rsid w:val="00CA27B7"/>
    <w:rsid w:val="00CA3554"/>
    <w:rsid w:val="00CA48F3"/>
    <w:rsid w:val="00CB206B"/>
    <w:rsid w:val="00CB26AD"/>
    <w:rsid w:val="00CB28B3"/>
    <w:rsid w:val="00CB2FC4"/>
    <w:rsid w:val="00CB44D4"/>
    <w:rsid w:val="00CB58FC"/>
    <w:rsid w:val="00CC1B0C"/>
    <w:rsid w:val="00CC26F1"/>
    <w:rsid w:val="00CC36D9"/>
    <w:rsid w:val="00CC4D32"/>
    <w:rsid w:val="00CD0E2E"/>
    <w:rsid w:val="00CD1939"/>
    <w:rsid w:val="00CD4AEA"/>
    <w:rsid w:val="00CE2692"/>
    <w:rsid w:val="00CE327C"/>
    <w:rsid w:val="00CE3C22"/>
    <w:rsid w:val="00CE5738"/>
    <w:rsid w:val="00CF08CA"/>
    <w:rsid w:val="00CF0F81"/>
    <w:rsid w:val="00CF17B3"/>
    <w:rsid w:val="00CF5867"/>
    <w:rsid w:val="00D03BD1"/>
    <w:rsid w:val="00D04C62"/>
    <w:rsid w:val="00D05DCA"/>
    <w:rsid w:val="00D076AD"/>
    <w:rsid w:val="00D1145F"/>
    <w:rsid w:val="00D11671"/>
    <w:rsid w:val="00D12690"/>
    <w:rsid w:val="00D14EF3"/>
    <w:rsid w:val="00D16C17"/>
    <w:rsid w:val="00D222F2"/>
    <w:rsid w:val="00D25303"/>
    <w:rsid w:val="00D257F4"/>
    <w:rsid w:val="00D26528"/>
    <w:rsid w:val="00D26E32"/>
    <w:rsid w:val="00D31B9B"/>
    <w:rsid w:val="00D32B25"/>
    <w:rsid w:val="00D34DD7"/>
    <w:rsid w:val="00D3751D"/>
    <w:rsid w:val="00D37746"/>
    <w:rsid w:val="00D37BA8"/>
    <w:rsid w:val="00D40148"/>
    <w:rsid w:val="00D412A6"/>
    <w:rsid w:val="00D44F5E"/>
    <w:rsid w:val="00D45D65"/>
    <w:rsid w:val="00D46576"/>
    <w:rsid w:val="00D51293"/>
    <w:rsid w:val="00D51B59"/>
    <w:rsid w:val="00D51FDE"/>
    <w:rsid w:val="00D52B39"/>
    <w:rsid w:val="00D54134"/>
    <w:rsid w:val="00D54291"/>
    <w:rsid w:val="00D55BB2"/>
    <w:rsid w:val="00D56872"/>
    <w:rsid w:val="00D61CEB"/>
    <w:rsid w:val="00D62C17"/>
    <w:rsid w:val="00D64805"/>
    <w:rsid w:val="00D65731"/>
    <w:rsid w:val="00D71920"/>
    <w:rsid w:val="00D81AA1"/>
    <w:rsid w:val="00D83B15"/>
    <w:rsid w:val="00D84F68"/>
    <w:rsid w:val="00D85501"/>
    <w:rsid w:val="00D91C88"/>
    <w:rsid w:val="00D921FF"/>
    <w:rsid w:val="00DA0837"/>
    <w:rsid w:val="00DA15AE"/>
    <w:rsid w:val="00DA3056"/>
    <w:rsid w:val="00DA407E"/>
    <w:rsid w:val="00DA7374"/>
    <w:rsid w:val="00DB0FAA"/>
    <w:rsid w:val="00DB2A7A"/>
    <w:rsid w:val="00DB4060"/>
    <w:rsid w:val="00DB47BB"/>
    <w:rsid w:val="00DC0D1F"/>
    <w:rsid w:val="00DC1B16"/>
    <w:rsid w:val="00DC22CE"/>
    <w:rsid w:val="00DC3144"/>
    <w:rsid w:val="00DD24F1"/>
    <w:rsid w:val="00DD3BF0"/>
    <w:rsid w:val="00DD55D7"/>
    <w:rsid w:val="00DD5CFC"/>
    <w:rsid w:val="00DE04FB"/>
    <w:rsid w:val="00DE0B79"/>
    <w:rsid w:val="00DE23A6"/>
    <w:rsid w:val="00DE5681"/>
    <w:rsid w:val="00DE6744"/>
    <w:rsid w:val="00DF09EB"/>
    <w:rsid w:val="00DF0E23"/>
    <w:rsid w:val="00DF2167"/>
    <w:rsid w:val="00DF23A8"/>
    <w:rsid w:val="00DF3AED"/>
    <w:rsid w:val="00DF3EFF"/>
    <w:rsid w:val="00DF56DE"/>
    <w:rsid w:val="00DF7AE4"/>
    <w:rsid w:val="00E019C8"/>
    <w:rsid w:val="00E01C70"/>
    <w:rsid w:val="00E039D6"/>
    <w:rsid w:val="00E0511A"/>
    <w:rsid w:val="00E052AF"/>
    <w:rsid w:val="00E06B3B"/>
    <w:rsid w:val="00E13E16"/>
    <w:rsid w:val="00E147EB"/>
    <w:rsid w:val="00E154FA"/>
    <w:rsid w:val="00E16FEE"/>
    <w:rsid w:val="00E17EA0"/>
    <w:rsid w:val="00E20B3D"/>
    <w:rsid w:val="00E227D4"/>
    <w:rsid w:val="00E22D11"/>
    <w:rsid w:val="00E2320F"/>
    <w:rsid w:val="00E24E7A"/>
    <w:rsid w:val="00E26086"/>
    <w:rsid w:val="00E26978"/>
    <w:rsid w:val="00E32A3A"/>
    <w:rsid w:val="00E330A7"/>
    <w:rsid w:val="00E3315E"/>
    <w:rsid w:val="00E33BD9"/>
    <w:rsid w:val="00E40262"/>
    <w:rsid w:val="00E43BEF"/>
    <w:rsid w:val="00E43E9D"/>
    <w:rsid w:val="00E45A13"/>
    <w:rsid w:val="00E462DE"/>
    <w:rsid w:val="00E46FE1"/>
    <w:rsid w:val="00E55EE0"/>
    <w:rsid w:val="00E627F2"/>
    <w:rsid w:val="00E62AE7"/>
    <w:rsid w:val="00E62D65"/>
    <w:rsid w:val="00E6373F"/>
    <w:rsid w:val="00E65B16"/>
    <w:rsid w:val="00E65E4D"/>
    <w:rsid w:val="00E705F5"/>
    <w:rsid w:val="00E71D1B"/>
    <w:rsid w:val="00E72E0D"/>
    <w:rsid w:val="00E743AC"/>
    <w:rsid w:val="00E74B83"/>
    <w:rsid w:val="00E7527D"/>
    <w:rsid w:val="00E75284"/>
    <w:rsid w:val="00E7714E"/>
    <w:rsid w:val="00E7759A"/>
    <w:rsid w:val="00E80010"/>
    <w:rsid w:val="00E808C0"/>
    <w:rsid w:val="00E81AD5"/>
    <w:rsid w:val="00E836B9"/>
    <w:rsid w:val="00E86CCD"/>
    <w:rsid w:val="00E926A4"/>
    <w:rsid w:val="00E9449E"/>
    <w:rsid w:val="00E94A8D"/>
    <w:rsid w:val="00EA09FF"/>
    <w:rsid w:val="00EA1A23"/>
    <w:rsid w:val="00EA5F73"/>
    <w:rsid w:val="00EA6A4E"/>
    <w:rsid w:val="00EA6BE1"/>
    <w:rsid w:val="00EB507B"/>
    <w:rsid w:val="00EB52C2"/>
    <w:rsid w:val="00EC0C2E"/>
    <w:rsid w:val="00EC29CD"/>
    <w:rsid w:val="00EC3CA0"/>
    <w:rsid w:val="00ED0897"/>
    <w:rsid w:val="00ED1B51"/>
    <w:rsid w:val="00ED380F"/>
    <w:rsid w:val="00ED399A"/>
    <w:rsid w:val="00ED5565"/>
    <w:rsid w:val="00EE1635"/>
    <w:rsid w:val="00EE1B8C"/>
    <w:rsid w:val="00EE2AA0"/>
    <w:rsid w:val="00EE51CB"/>
    <w:rsid w:val="00EF1109"/>
    <w:rsid w:val="00EF59EA"/>
    <w:rsid w:val="00EF7D71"/>
    <w:rsid w:val="00F00A9D"/>
    <w:rsid w:val="00F01D07"/>
    <w:rsid w:val="00F06AD8"/>
    <w:rsid w:val="00F07F85"/>
    <w:rsid w:val="00F12272"/>
    <w:rsid w:val="00F123B7"/>
    <w:rsid w:val="00F128D7"/>
    <w:rsid w:val="00F129D4"/>
    <w:rsid w:val="00F163F1"/>
    <w:rsid w:val="00F20784"/>
    <w:rsid w:val="00F23869"/>
    <w:rsid w:val="00F244D2"/>
    <w:rsid w:val="00F252C9"/>
    <w:rsid w:val="00F26D84"/>
    <w:rsid w:val="00F2757E"/>
    <w:rsid w:val="00F2771B"/>
    <w:rsid w:val="00F30C0B"/>
    <w:rsid w:val="00F31A22"/>
    <w:rsid w:val="00F32502"/>
    <w:rsid w:val="00F32BB4"/>
    <w:rsid w:val="00F32EF1"/>
    <w:rsid w:val="00F35953"/>
    <w:rsid w:val="00F41484"/>
    <w:rsid w:val="00F41FCF"/>
    <w:rsid w:val="00F431BA"/>
    <w:rsid w:val="00F44DD9"/>
    <w:rsid w:val="00F51374"/>
    <w:rsid w:val="00F53EB4"/>
    <w:rsid w:val="00F554C9"/>
    <w:rsid w:val="00F5680B"/>
    <w:rsid w:val="00F56E3C"/>
    <w:rsid w:val="00F6352A"/>
    <w:rsid w:val="00F643E0"/>
    <w:rsid w:val="00F65536"/>
    <w:rsid w:val="00F663C0"/>
    <w:rsid w:val="00F70158"/>
    <w:rsid w:val="00F71386"/>
    <w:rsid w:val="00F7282B"/>
    <w:rsid w:val="00F72BC2"/>
    <w:rsid w:val="00F73515"/>
    <w:rsid w:val="00F75145"/>
    <w:rsid w:val="00F803A5"/>
    <w:rsid w:val="00F80615"/>
    <w:rsid w:val="00F815A8"/>
    <w:rsid w:val="00F81DA7"/>
    <w:rsid w:val="00F82BAE"/>
    <w:rsid w:val="00F83EDF"/>
    <w:rsid w:val="00F8637E"/>
    <w:rsid w:val="00F91235"/>
    <w:rsid w:val="00F92082"/>
    <w:rsid w:val="00F94B1E"/>
    <w:rsid w:val="00F95337"/>
    <w:rsid w:val="00F959DA"/>
    <w:rsid w:val="00FA2FEF"/>
    <w:rsid w:val="00FB1A23"/>
    <w:rsid w:val="00FB5F4D"/>
    <w:rsid w:val="00FC1F93"/>
    <w:rsid w:val="00FC75B4"/>
    <w:rsid w:val="00FD3855"/>
    <w:rsid w:val="00FD3BE4"/>
    <w:rsid w:val="00FD686C"/>
    <w:rsid w:val="00FE0386"/>
    <w:rsid w:val="00FE0A3D"/>
    <w:rsid w:val="00FE23EB"/>
    <w:rsid w:val="00FE28B3"/>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FF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00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olicy_x0020_or_x0020_Procedure xmlns="1c64f3ea-64b2-4ba4-83e2-f0639d8ebc0b">
      <Value>Policy</Value>
    </Policy_x0020_or_x0020_Procedure>
    <Document_x0020_Type xmlns="0e17a363-e013-437b-9a95-505d1cd007fa">IFRS</Document_x0020_Type>
    <Region xmlns="1c64f3ea-64b2-4ba4-83e2-f0639d8ebc0b">General</Reg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0039e61b7535e8ba0d4d22cbcc56088c">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af284e46e46d7d38b129448ba8845c82"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E7DDC-4740-42F0-9DD5-9C6EBBF30837}">
  <ds:schemaRefs>
    <ds:schemaRef ds:uri="http://schemas.microsoft.com/sharepoint/v3/contenttype/forms"/>
  </ds:schemaRefs>
</ds:datastoreItem>
</file>

<file path=customXml/itemProps2.xml><?xml version="1.0" encoding="utf-8"?>
<ds:datastoreItem xmlns:ds="http://schemas.openxmlformats.org/officeDocument/2006/customXml" ds:itemID="{B34F0585-D4B0-43F0-A998-C3BDBA136291}">
  <ds:schemaRefs>
    <ds:schemaRef ds:uri="6bbfadf9-d801-40f2-a897-3bb0ed128290"/>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328597d9-4282-4247-a4e8-f559f7eb4505"/>
    <ds:schemaRef ds:uri="0e17a363-e013-437b-9a95-505d1cd007fa"/>
    <ds:schemaRef ds:uri="1c64f3ea-64b2-4ba4-83e2-f0639d8ebc0b"/>
    <ds:schemaRef ds:uri="http://www.w3.org/XML/1998/namespace"/>
  </ds:schemaRefs>
</ds:datastoreItem>
</file>

<file path=customXml/itemProps3.xml><?xml version="1.0" encoding="utf-8"?>
<ds:datastoreItem xmlns:ds="http://schemas.openxmlformats.org/officeDocument/2006/customXml" ds:itemID="{4C149D8C-406D-4A4E-A83D-D586E97F93D9}"/>
</file>

<file path=docProps/app.xml><?xml version="1.0" encoding="utf-8"?>
<Properties xmlns="http://schemas.openxmlformats.org/officeDocument/2006/extended-properties" xmlns:vt="http://schemas.openxmlformats.org/officeDocument/2006/docPropsVTypes">
  <Template>Normal.dotm</Template>
  <TotalTime>44</TotalTime>
  <Pages>16</Pages>
  <Words>4301</Words>
  <Characters>22839</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IFRS-Accounting Manual.doc</vt:lpstr>
    </vt:vector>
  </TitlesOfParts>
  <Company>Samsonite</Company>
  <LinksUpToDate>false</LinksUpToDate>
  <CharactersWithSpaces>27086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IFRS-Accounting Manual.doc</dc:title>
  <dc:creator>image008</dc:creator>
  <cp:lastModifiedBy>Jeff Brown</cp:lastModifiedBy>
  <cp:revision>7</cp:revision>
  <cp:lastPrinted>2010-11-05T16:59:00Z</cp:lastPrinted>
  <dcterms:created xsi:type="dcterms:W3CDTF">2013-12-18T19:33:00Z</dcterms:created>
  <dcterms:modified xsi:type="dcterms:W3CDTF">2018-12-17T16:53:00Z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Document Approval Status">
    <vt:lpwstr>Initial Approval</vt:lpwstr>
  </property>
</Properties>
</file>