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7BB4D" w14:textId="77777777" w:rsidR="000B4F8E" w:rsidRPr="00724D83" w:rsidRDefault="000B4F8E" w:rsidP="00CA00D7">
      <w:pPr>
        <w:pStyle w:val="TOCHead"/>
      </w:pPr>
      <w:r w:rsidRPr="00724D83">
        <w:t>TABLE OF CONTENTS</w:t>
      </w:r>
    </w:p>
    <w:p w14:paraId="2C47BB4E" w14:textId="77777777" w:rsidR="000B4F8E" w:rsidRDefault="000B4F8E" w:rsidP="00CA00D7">
      <w:pPr>
        <w:pStyle w:val="Text1"/>
        <w:tabs>
          <w:tab w:val="left" w:pos="720"/>
          <w:tab w:val="right" w:leader="dot" w:pos="9360"/>
        </w:tabs>
        <w:spacing w:after="120"/>
        <w:rPr>
          <w:b/>
        </w:rPr>
      </w:pPr>
      <w:r>
        <w:rPr>
          <w:b/>
        </w:rPr>
        <w:t>18</w:t>
      </w:r>
      <w:r w:rsidRPr="00075B4F">
        <w:rPr>
          <w:b/>
        </w:rPr>
        <w:t>.</w:t>
      </w:r>
      <w:r w:rsidRPr="00075B4F">
        <w:rPr>
          <w:b/>
        </w:rPr>
        <w:tab/>
      </w:r>
      <w:r>
        <w:rPr>
          <w:b/>
        </w:rPr>
        <w:t>Borrowing Costs</w:t>
      </w:r>
      <w:r w:rsidRPr="00075B4F">
        <w:rPr>
          <w:b/>
        </w:rPr>
        <w:tab/>
        <w:t>2</w:t>
      </w:r>
    </w:p>
    <w:p w14:paraId="2C47BB4F" w14:textId="77777777" w:rsidR="000B4F8E" w:rsidRPr="002B5FB8" w:rsidRDefault="000B4F8E" w:rsidP="00CA00D7">
      <w:pPr>
        <w:pStyle w:val="Text1"/>
        <w:tabs>
          <w:tab w:val="left" w:pos="720"/>
          <w:tab w:val="right" w:leader="dot" w:pos="9360"/>
        </w:tabs>
        <w:spacing w:after="120"/>
        <w:rPr>
          <w:b/>
        </w:rPr>
      </w:pPr>
      <w:r>
        <w:rPr>
          <w:b/>
        </w:rPr>
        <w:t>1</w:t>
      </w:r>
      <w:r w:rsidRPr="002B5FB8">
        <w:rPr>
          <w:b/>
        </w:rPr>
        <w:t>8.</w:t>
      </w:r>
      <w:r>
        <w:rPr>
          <w:b/>
        </w:rPr>
        <w:t>1</w:t>
      </w:r>
      <w:r w:rsidRPr="002B5FB8">
        <w:rPr>
          <w:b/>
        </w:rPr>
        <w:tab/>
        <w:t>Purpose and scope</w:t>
      </w:r>
      <w:r w:rsidRPr="002B5FB8">
        <w:rPr>
          <w:b/>
        </w:rPr>
        <w:tab/>
        <w:t>2</w:t>
      </w:r>
    </w:p>
    <w:p w14:paraId="2C47BB50" w14:textId="77777777" w:rsidR="000B4F8E" w:rsidRPr="002B5FB8" w:rsidRDefault="000B4F8E" w:rsidP="00CA00D7">
      <w:pPr>
        <w:pStyle w:val="Text1"/>
        <w:tabs>
          <w:tab w:val="left" w:pos="720"/>
          <w:tab w:val="right" w:leader="dot" w:pos="9360"/>
        </w:tabs>
        <w:spacing w:after="120"/>
        <w:rPr>
          <w:b/>
        </w:rPr>
      </w:pPr>
      <w:r>
        <w:rPr>
          <w:b/>
        </w:rPr>
        <w:t>1</w:t>
      </w:r>
      <w:r w:rsidRPr="002B5FB8">
        <w:rPr>
          <w:b/>
        </w:rPr>
        <w:t>8.</w:t>
      </w:r>
      <w:r>
        <w:rPr>
          <w:b/>
        </w:rPr>
        <w:t>2</w:t>
      </w:r>
      <w:r w:rsidRPr="002B5FB8">
        <w:rPr>
          <w:b/>
        </w:rPr>
        <w:tab/>
        <w:t>Definitions</w:t>
      </w:r>
      <w:r w:rsidRPr="002B5FB8">
        <w:rPr>
          <w:b/>
        </w:rPr>
        <w:tab/>
        <w:t>3</w:t>
      </w:r>
    </w:p>
    <w:p w14:paraId="2C47BB51" w14:textId="77777777" w:rsidR="000B4F8E" w:rsidRPr="002B5FB8" w:rsidRDefault="000B4F8E" w:rsidP="00CA00D7">
      <w:pPr>
        <w:pStyle w:val="Text1"/>
        <w:tabs>
          <w:tab w:val="left" w:pos="720"/>
          <w:tab w:val="right" w:leader="dot" w:pos="9360"/>
        </w:tabs>
        <w:spacing w:after="120"/>
        <w:rPr>
          <w:b/>
        </w:rPr>
      </w:pPr>
      <w:r>
        <w:rPr>
          <w:b/>
        </w:rPr>
        <w:t>1</w:t>
      </w:r>
      <w:r w:rsidRPr="002B5FB8">
        <w:rPr>
          <w:b/>
        </w:rPr>
        <w:t>8.</w:t>
      </w:r>
      <w:r>
        <w:rPr>
          <w:b/>
        </w:rPr>
        <w:t>3</w:t>
      </w:r>
      <w:r w:rsidRPr="002B5FB8">
        <w:rPr>
          <w:b/>
        </w:rPr>
        <w:tab/>
      </w:r>
      <w:r>
        <w:rPr>
          <w:b/>
        </w:rPr>
        <w:t>Recognition</w:t>
      </w:r>
      <w:r w:rsidRPr="002B5FB8">
        <w:rPr>
          <w:b/>
        </w:rPr>
        <w:tab/>
        <w:t>4</w:t>
      </w:r>
    </w:p>
    <w:p w14:paraId="2C47BB52" w14:textId="77777777" w:rsidR="000B4F8E" w:rsidRDefault="000B4F8E" w:rsidP="00CA00D7">
      <w:pPr>
        <w:pStyle w:val="Text1"/>
        <w:tabs>
          <w:tab w:val="left" w:pos="720"/>
          <w:tab w:val="right" w:leader="dot" w:pos="9360"/>
        </w:tabs>
        <w:spacing w:after="120"/>
        <w:rPr>
          <w:b/>
        </w:rPr>
      </w:pPr>
      <w:r>
        <w:rPr>
          <w:b/>
        </w:rPr>
        <w:t xml:space="preserve">18.4 </w:t>
      </w:r>
      <w:r>
        <w:rPr>
          <w:b/>
        </w:rPr>
        <w:tab/>
        <w:t>Measurement</w:t>
      </w:r>
      <w:r w:rsidRPr="00075B4F">
        <w:rPr>
          <w:b/>
        </w:rPr>
        <w:tab/>
      </w:r>
      <w:r>
        <w:rPr>
          <w:b/>
        </w:rPr>
        <w:t>5</w:t>
      </w:r>
    </w:p>
    <w:p w14:paraId="2C47BB53" w14:textId="77777777" w:rsidR="000B4F8E" w:rsidRPr="00075B4F" w:rsidRDefault="000B4F8E" w:rsidP="00CA00D7">
      <w:pPr>
        <w:pStyle w:val="Text1"/>
        <w:tabs>
          <w:tab w:val="left" w:pos="720"/>
          <w:tab w:val="right" w:leader="dot" w:pos="9360"/>
        </w:tabs>
        <w:spacing w:after="120"/>
        <w:rPr>
          <w:b/>
        </w:rPr>
      </w:pPr>
      <w:r>
        <w:rPr>
          <w:b/>
        </w:rPr>
        <w:t>18</w:t>
      </w:r>
      <w:r w:rsidRPr="00075B4F">
        <w:rPr>
          <w:b/>
        </w:rPr>
        <w:t>.</w:t>
      </w:r>
      <w:r>
        <w:rPr>
          <w:b/>
        </w:rPr>
        <w:t>5</w:t>
      </w:r>
      <w:r>
        <w:rPr>
          <w:b/>
        </w:rPr>
        <w:tab/>
        <w:t>Period of Capitalization</w:t>
      </w:r>
      <w:r>
        <w:rPr>
          <w:b/>
        </w:rPr>
        <w:tab/>
        <w:t>6</w:t>
      </w:r>
    </w:p>
    <w:p w14:paraId="2C47BB54" w14:textId="77777777" w:rsidR="000B4F8E" w:rsidRDefault="000B4F8E" w:rsidP="00CA00D7">
      <w:pPr>
        <w:pStyle w:val="Text1"/>
        <w:tabs>
          <w:tab w:val="left" w:pos="180"/>
          <w:tab w:val="left" w:pos="540"/>
          <w:tab w:val="left" w:pos="900"/>
          <w:tab w:val="left" w:pos="1350"/>
          <w:tab w:val="left" w:pos="1800"/>
          <w:tab w:val="right" w:leader="dot" w:pos="9360"/>
        </w:tabs>
        <w:spacing w:after="120"/>
      </w:pPr>
      <w:r>
        <w:tab/>
      </w:r>
      <w:r>
        <w:tab/>
      </w:r>
      <w:r>
        <w:tab/>
        <w:t>18.5.1</w:t>
      </w:r>
      <w:r>
        <w:tab/>
        <w:t>Commencement of Capitalization</w:t>
      </w:r>
      <w:r w:rsidRPr="00724D83">
        <w:tab/>
      </w:r>
      <w:r>
        <w:t>7</w:t>
      </w:r>
    </w:p>
    <w:p w14:paraId="2C47BB55" w14:textId="77777777" w:rsidR="000B4F8E" w:rsidRDefault="000B4F8E" w:rsidP="00CA00D7">
      <w:pPr>
        <w:pStyle w:val="Text1"/>
        <w:tabs>
          <w:tab w:val="left" w:pos="900"/>
          <w:tab w:val="left" w:pos="1260"/>
          <w:tab w:val="left" w:pos="1350"/>
          <w:tab w:val="left" w:pos="1800"/>
          <w:tab w:val="right" w:leader="dot" w:pos="9360"/>
        </w:tabs>
        <w:spacing w:after="120"/>
        <w:ind w:left="180"/>
      </w:pPr>
      <w:r>
        <w:tab/>
        <w:t>18.5.2</w:t>
      </w:r>
      <w:r>
        <w:tab/>
        <w:t>Suspension of Capitalization</w:t>
      </w:r>
      <w:r w:rsidRPr="00724D83">
        <w:tab/>
      </w:r>
      <w:r>
        <w:t>7</w:t>
      </w:r>
    </w:p>
    <w:p w14:paraId="2C47BB56" w14:textId="77777777" w:rsidR="000B4F8E" w:rsidRDefault="000B4F8E" w:rsidP="00CA00D7">
      <w:pPr>
        <w:pStyle w:val="Text1"/>
        <w:tabs>
          <w:tab w:val="left" w:pos="900"/>
          <w:tab w:val="left" w:pos="1260"/>
          <w:tab w:val="left" w:pos="1350"/>
          <w:tab w:val="left" w:pos="1800"/>
          <w:tab w:val="right" w:leader="dot" w:pos="9360"/>
        </w:tabs>
        <w:spacing w:after="120"/>
        <w:ind w:left="180"/>
      </w:pPr>
      <w:r>
        <w:tab/>
        <w:t>18.5.3</w:t>
      </w:r>
      <w:r>
        <w:tab/>
        <w:t>Cessation of Capitalization</w:t>
      </w:r>
      <w:r w:rsidRPr="00724D83">
        <w:tab/>
      </w:r>
      <w:r>
        <w:t>9</w:t>
      </w:r>
    </w:p>
    <w:p w14:paraId="2C47BB57" w14:textId="77777777" w:rsidR="000B4F8E" w:rsidRPr="00075B4F" w:rsidRDefault="000B4F8E" w:rsidP="00CA00D7">
      <w:pPr>
        <w:pStyle w:val="Text1"/>
        <w:tabs>
          <w:tab w:val="left" w:pos="720"/>
          <w:tab w:val="right" w:leader="dot" w:pos="9360"/>
        </w:tabs>
        <w:spacing w:after="120"/>
        <w:rPr>
          <w:b/>
        </w:rPr>
      </w:pPr>
      <w:r>
        <w:rPr>
          <w:b/>
        </w:rPr>
        <w:t>18</w:t>
      </w:r>
      <w:r w:rsidRPr="00075B4F">
        <w:rPr>
          <w:b/>
        </w:rPr>
        <w:t>.</w:t>
      </w:r>
      <w:r>
        <w:rPr>
          <w:b/>
        </w:rPr>
        <w:t>6</w:t>
      </w:r>
      <w:r>
        <w:rPr>
          <w:b/>
        </w:rPr>
        <w:tab/>
        <w:t>Transitional Provisions</w:t>
      </w:r>
      <w:r>
        <w:rPr>
          <w:b/>
        </w:rPr>
        <w:tab/>
        <w:t>11</w:t>
      </w:r>
    </w:p>
    <w:p w14:paraId="2C47BB58" w14:textId="77777777" w:rsidR="000B4F8E" w:rsidRPr="00075B4F" w:rsidRDefault="000B4F8E" w:rsidP="00CA00D7">
      <w:pPr>
        <w:pStyle w:val="Text1"/>
        <w:tabs>
          <w:tab w:val="left" w:pos="720"/>
          <w:tab w:val="right" w:leader="dot" w:pos="9360"/>
        </w:tabs>
        <w:spacing w:after="120"/>
        <w:rPr>
          <w:b/>
        </w:rPr>
      </w:pPr>
      <w:r>
        <w:rPr>
          <w:b/>
        </w:rPr>
        <w:t>18</w:t>
      </w:r>
      <w:r w:rsidRPr="00075B4F">
        <w:rPr>
          <w:b/>
        </w:rPr>
        <w:t>.</w:t>
      </w:r>
      <w:r>
        <w:rPr>
          <w:b/>
        </w:rPr>
        <w:t>7</w:t>
      </w:r>
      <w:r>
        <w:rPr>
          <w:b/>
        </w:rPr>
        <w:tab/>
        <w:t>Disclosures</w:t>
      </w:r>
      <w:r>
        <w:rPr>
          <w:b/>
        </w:rPr>
        <w:tab/>
        <w:t>11</w:t>
      </w:r>
    </w:p>
    <w:p w14:paraId="2C47BB59" w14:textId="77777777" w:rsidR="000B4F8E" w:rsidRPr="00A4351D" w:rsidRDefault="000B4F8E" w:rsidP="00CA00D7">
      <w:pPr>
        <w:rPr>
          <w:b/>
          <w:color w:val="000080"/>
        </w:rPr>
      </w:pPr>
      <w:r>
        <w:rPr>
          <w:b/>
          <w:color w:val="000080"/>
        </w:rPr>
        <w:br w:type="page"/>
      </w:r>
      <w:r>
        <w:rPr>
          <w:b/>
          <w:color w:val="000080"/>
        </w:rPr>
        <w:lastRenderedPageBreak/>
        <w:t>18.</w:t>
      </w:r>
      <w:r>
        <w:rPr>
          <w:b/>
          <w:color w:val="000080"/>
        </w:rPr>
        <w:tab/>
        <w:t>Borrowing costs</w:t>
      </w: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738"/>
        <w:gridCol w:w="8622"/>
      </w:tblGrid>
      <w:tr w:rsidR="000B4F8E" w:rsidRPr="00724D83" w14:paraId="2C47BB60" w14:textId="77777777" w:rsidTr="00751E75">
        <w:trPr>
          <w:cantSplit/>
          <w:trHeight w:val="1831"/>
        </w:trPr>
        <w:tc>
          <w:tcPr>
            <w:tcW w:w="738" w:type="dxa"/>
            <w:shd w:val="clear" w:color="auto" w:fill="DBE5F1"/>
            <w:textDirection w:val="btLr"/>
            <w:vAlign w:val="center"/>
          </w:tcPr>
          <w:p w14:paraId="2C47BB5A" w14:textId="77777777" w:rsidR="000B4F8E" w:rsidRPr="00724D83" w:rsidRDefault="000B4F8E" w:rsidP="00751E75">
            <w:pPr>
              <w:pStyle w:val="Default"/>
              <w:ind w:left="113" w:right="113"/>
              <w:jc w:val="center"/>
              <w:rPr>
                <w:b/>
                <w:color w:val="000080"/>
                <w:sz w:val="26"/>
                <w:szCs w:val="26"/>
              </w:rPr>
            </w:pPr>
            <w:r w:rsidRPr="00724D83">
              <w:rPr>
                <w:b/>
                <w:color w:val="000080"/>
                <w:sz w:val="26"/>
                <w:szCs w:val="26"/>
              </w:rPr>
              <w:t>OVERVIEW</w:t>
            </w:r>
          </w:p>
        </w:tc>
        <w:tc>
          <w:tcPr>
            <w:tcW w:w="8622" w:type="dxa"/>
            <w:shd w:val="clear" w:color="auto" w:fill="DBE5F1"/>
          </w:tcPr>
          <w:p w14:paraId="2C47BB5B" w14:textId="77777777" w:rsidR="000B4F8E" w:rsidRPr="009C6F1E" w:rsidRDefault="000B4F8E" w:rsidP="00751E75">
            <w:pPr>
              <w:pStyle w:val="Tablebullet1"/>
              <w:jc w:val="both"/>
              <w:rPr>
                <w:color w:val="002060"/>
              </w:rPr>
            </w:pPr>
            <w:r>
              <w:t>Borrowing costs that are directly attributable to the acquisition, construction, or production of a “qualifying asset” form part of the cost of that asset.</w:t>
            </w:r>
          </w:p>
          <w:p w14:paraId="2C47BB5C" w14:textId="16105759" w:rsidR="000B4F8E" w:rsidRDefault="000B4F8E" w:rsidP="00751E75">
            <w:pPr>
              <w:pStyle w:val="Tablebullet1"/>
              <w:jc w:val="both"/>
              <w:rPr>
                <w:color w:val="002060"/>
              </w:rPr>
            </w:pPr>
            <w:r>
              <w:t>There are several borrowing costs eligible for capitalization.</w:t>
            </w:r>
          </w:p>
          <w:p w14:paraId="2C47BB5D" w14:textId="0BF3B9B7" w:rsidR="000B4F8E" w:rsidRPr="00724D83" w:rsidRDefault="000B4F8E" w:rsidP="00751E75">
            <w:pPr>
              <w:pStyle w:val="Tablebullet1"/>
              <w:jc w:val="both"/>
              <w:rPr>
                <w:color w:val="002060"/>
              </w:rPr>
            </w:pPr>
            <w:r>
              <w:t>Weighted average interest rate is applied.</w:t>
            </w:r>
          </w:p>
          <w:p w14:paraId="2C47BB5E" w14:textId="202866CB" w:rsidR="000B4F8E" w:rsidRDefault="000B4F8E" w:rsidP="00751E75">
            <w:pPr>
              <w:pStyle w:val="Tablebullet1"/>
            </w:pPr>
            <w:r>
              <w:t>Amount of specific borrowing costs capitalized is net of investment income.</w:t>
            </w:r>
          </w:p>
          <w:p w14:paraId="2C47BB5F" w14:textId="77777777" w:rsidR="000B4F8E" w:rsidRPr="00724D83" w:rsidRDefault="000B4F8E" w:rsidP="00751E75">
            <w:pPr>
              <w:pStyle w:val="Tablebullet1"/>
            </w:pPr>
            <w:r>
              <w:t>Capitalization begins when: 1) expenditures for the asset are being incurred; 2) borrowing costs are being incurred; and 3) activities that are necessary to prepare the asset for its intended use or sale are in progress.</w:t>
            </w:r>
          </w:p>
        </w:tc>
      </w:tr>
    </w:tbl>
    <w:p w14:paraId="2C47BB61" w14:textId="77777777" w:rsidR="000B4F8E" w:rsidRPr="00724D83" w:rsidRDefault="000B4F8E" w:rsidP="00CA00D7">
      <w:pPr>
        <w:pStyle w:val="Text1"/>
      </w:pPr>
    </w:p>
    <w:p w14:paraId="2C47BB62" w14:textId="77777777" w:rsidR="000B4F8E" w:rsidRPr="00724D83" w:rsidRDefault="000B4F8E" w:rsidP="00CA00D7">
      <w:pPr>
        <w:pStyle w:val="Head1"/>
      </w:pPr>
      <w:r>
        <w:t>18</w:t>
      </w:r>
      <w:r w:rsidRPr="00724D83">
        <w:t>.1</w:t>
      </w:r>
      <w:r w:rsidRPr="00724D83">
        <w:tab/>
        <w:t>Purpose and scope</w:t>
      </w:r>
      <w:r>
        <w:t xml:space="preserve"> (IAS 23.2-4)</w:t>
      </w:r>
    </w:p>
    <w:p w14:paraId="2C47BB63" w14:textId="4D045E37" w:rsidR="000B4F8E" w:rsidRDefault="000B4F8E" w:rsidP="00CA00D7">
      <w:pPr>
        <w:pStyle w:val="Text1"/>
      </w:pPr>
      <w:r w:rsidRPr="00724D83">
        <w:t xml:space="preserve">This policy provides guidance and rules on accounting for </w:t>
      </w:r>
      <w:r>
        <w:rPr>
          <w:b/>
          <w:bCs/>
        </w:rPr>
        <w:t>Borrowing Costs</w:t>
      </w:r>
      <w:r w:rsidRPr="00724D83">
        <w:t xml:space="preserve"> for the purpose of preparing </w:t>
      </w:r>
      <w:r>
        <w:t>the financial statements of the</w:t>
      </w:r>
      <w:r w:rsidRPr="00724D83">
        <w:t xml:space="preserve"> </w:t>
      </w:r>
      <w:r w:rsidR="00781E18">
        <w:t>Group</w:t>
      </w:r>
      <w:r w:rsidR="00781E18" w:rsidRPr="00724D83">
        <w:t xml:space="preserve"> </w:t>
      </w:r>
      <w:r w:rsidRPr="00724D83">
        <w:t>according to International Financial Reporting Standards.</w:t>
      </w:r>
    </w:p>
    <w:p w14:paraId="2C47BB65" w14:textId="77777777" w:rsidR="000B4F8E" w:rsidRDefault="000B4F8E" w:rsidP="00CA00D7">
      <w:pPr>
        <w:pStyle w:val="Head1"/>
      </w:pPr>
      <w:r>
        <w:t>18</w:t>
      </w:r>
      <w:r w:rsidRPr="00724D83">
        <w:t>.2</w:t>
      </w:r>
      <w:r w:rsidRPr="00724D83">
        <w:tab/>
        <w:t>Definitions</w:t>
      </w:r>
      <w:r>
        <w:t xml:space="preserve"> (IAS 23.5-7)</w:t>
      </w:r>
    </w:p>
    <w:p w14:paraId="2C47BB66" w14:textId="77777777" w:rsidR="000B4F8E" w:rsidRPr="00DD55D7" w:rsidRDefault="000B4F8E" w:rsidP="00CA00D7">
      <w:pPr>
        <w:autoSpaceDE w:val="0"/>
        <w:autoSpaceDN w:val="0"/>
        <w:adjustRightInd w:val="0"/>
        <w:spacing w:after="120" w:line="240" w:lineRule="auto"/>
        <w:rPr>
          <w:bCs/>
        </w:rPr>
      </w:pPr>
      <w:r w:rsidRPr="00DD55D7">
        <w:rPr>
          <w:b/>
          <w:bCs/>
          <w:iCs/>
        </w:rPr>
        <w:t>Borrowing costs</w:t>
      </w:r>
      <w:r w:rsidRPr="00DD55D7">
        <w:rPr>
          <w:bCs/>
        </w:rPr>
        <w:t>: interest and other costs that an entity incurs in connection with the borrowing of funds.</w:t>
      </w:r>
    </w:p>
    <w:p w14:paraId="2C47BB67" w14:textId="77777777" w:rsidR="000B4F8E" w:rsidRPr="00DD55D7" w:rsidRDefault="000B4F8E" w:rsidP="00CA00D7">
      <w:pPr>
        <w:autoSpaceDE w:val="0"/>
        <w:autoSpaceDN w:val="0"/>
        <w:adjustRightInd w:val="0"/>
        <w:spacing w:after="120" w:line="240" w:lineRule="auto"/>
        <w:rPr>
          <w:bCs/>
        </w:rPr>
      </w:pPr>
      <w:r w:rsidRPr="00DD55D7">
        <w:rPr>
          <w:b/>
          <w:bCs/>
          <w:iCs/>
        </w:rPr>
        <w:t>Qualifying asset:</w:t>
      </w:r>
      <w:r w:rsidRPr="00DD55D7">
        <w:rPr>
          <w:bCs/>
          <w:iCs/>
        </w:rPr>
        <w:t xml:space="preserve"> </w:t>
      </w:r>
      <w:r>
        <w:rPr>
          <w:bCs/>
          <w:iCs/>
        </w:rPr>
        <w:t xml:space="preserve">an </w:t>
      </w:r>
      <w:r w:rsidRPr="00DD55D7">
        <w:rPr>
          <w:bCs/>
        </w:rPr>
        <w:t>asset that takes a significant amount of time to get</w:t>
      </w:r>
      <w:r>
        <w:rPr>
          <w:bCs/>
        </w:rPr>
        <w:t xml:space="preserve"> </w:t>
      </w:r>
      <w:r w:rsidRPr="00DD55D7">
        <w:rPr>
          <w:bCs/>
        </w:rPr>
        <w:t>ready for its intended use or sale.</w:t>
      </w:r>
    </w:p>
    <w:p w14:paraId="2C47BB68" w14:textId="77777777" w:rsidR="000B4F8E" w:rsidRDefault="000B4F8E" w:rsidP="00CA00D7">
      <w:pPr>
        <w:autoSpaceDE w:val="0"/>
        <w:autoSpaceDN w:val="0"/>
        <w:adjustRightInd w:val="0"/>
        <w:spacing w:after="0" w:line="240" w:lineRule="auto"/>
        <w:rPr>
          <w:bCs/>
        </w:rPr>
      </w:pPr>
      <w:r w:rsidRPr="00BB798F">
        <w:rPr>
          <w:b/>
          <w:bCs/>
        </w:rPr>
        <w:t>Capitalization rate</w:t>
      </w:r>
      <w:r w:rsidRPr="00BB798F">
        <w:rPr>
          <w:bCs/>
        </w:rPr>
        <w:t>: is the weighted average of the borrowing costs applicable to the borrowings of the entity that are outstanding during the period, other than borrowings made specifically for the purpose of obtaining a qualifying asset.</w:t>
      </w:r>
    </w:p>
    <w:p w14:paraId="2C47BB69" w14:textId="77777777" w:rsidR="000B4F8E" w:rsidRDefault="000B4F8E" w:rsidP="00CA00D7">
      <w:pPr>
        <w:autoSpaceDE w:val="0"/>
        <w:autoSpaceDN w:val="0"/>
        <w:adjustRightInd w:val="0"/>
        <w:spacing w:after="0" w:line="240" w:lineRule="auto"/>
      </w:pPr>
    </w:p>
    <w:p w14:paraId="2C47BB6A" w14:textId="77777777" w:rsidR="000B4F8E" w:rsidRPr="00BB798F" w:rsidRDefault="000B4F8E" w:rsidP="00CA00D7">
      <w:pPr>
        <w:autoSpaceDE w:val="0"/>
        <w:autoSpaceDN w:val="0"/>
        <w:adjustRightInd w:val="0"/>
        <w:spacing w:after="0" w:line="240" w:lineRule="auto"/>
      </w:pPr>
    </w:p>
    <w:p w14:paraId="2C47BB6B" w14:textId="77777777" w:rsidR="000B4F8E" w:rsidRDefault="000B4F8E" w:rsidP="00CA00D7">
      <w:pPr>
        <w:pStyle w:val="Head1"/>
      </w:pPr>
      <w:r>
        <w:lastRenderedPageBreak/>
        <w:t>18.3    Recognition (IAS 23.8-25)</w:t>
      </w:r>
    </w:p>
    <w:p w14:paraId="2C47BB6C" w14:textId="5618778A" w:rsidR="000B4F8E" w:rsidRDefault="000B4F8E" w:rsidP="00CA00D7">
      <w:pPr>
        <w:pStyle w:val="Head1"/>
        <w:rPr>
          <w:b w:val="0"/>
          <w:color w:val="auto"/>
          <w:sz w:val="22"/>
          <w:szCs w:val="22"/>
        </w:rPr>
      </w:pPr>
      <w:r w:rsidRPr="00245F0F">
        <w:rPr>
          <w:b w:val="0"/>
          <w:color w:val="auto"/>
          <w:sz w:val="22"/>
          <w:szCs w:val="22"/>
        </w:rPr>
        <w:t>Borrowing costs that are directly attributable to the acquisition, construction, or production of a “qualifying asset” form part of the cost of that asset</w:t>
      </w:r>
      <w:r>
        <w:rPr>
          <w:b w:val="0"/>
          <w:color w:val="auto"/>
          <w:sz w:val="22"/>
          <w:szCs w:val="22"/>
        </w:rPr>
        <w:t xml:space="preserve"> (IAS 12.8)</w:t>
      </w:r>
      <w:r w:rsidR="008C6816">
        <w:rPr>
          <w:b w:val="0"/>
          <w:color w:val="auto"/>
          <w:sz w:val="22"/>
          <w:szCs w:val="22"/>
        </w:rPr>
        <w:t>.</w:t>
      </w:r>
      <w:r>
        <w:rPr>
          <w:b w:val="0"/>
          <w:color w:val="auto"/>
          <w:sz w:val="22"/>
          <w:szCs w:val="22"/>
        </w:rPr>
        <w:t xml:space="preserve"> These costs are defined as expenditures that result in payments of cash, transfer of other assets or the assumption of interest bearing liabilities.  Such costs are capitalized when it is probable that they will result in future benefits, they arise for the sole purpose of obtaining the asset and can be easily identified.</w:t>
      </w:r>
    </w:p>
    <w:p w14:paraId="2C47BB6D" w14:textId="77777777" w:rsidR="000B4F8E" w:rsidRDefault="000B4F8E" w:rsidP="00CA00D7">
      <w:pPr>
        <w:pStyle w:val="Head1"/>
        <w:spacing w:after="0"/>
        <w:rPr>
          <w:b w:val="0"/>
          <w:color w:val="auto"/>
          <w:sz w:val="22"/>
          <w:szCs w:val="22"/>
        </w:rPr>
      </w:pPr>
      <w:r>
        <w:rPr>
          <w:b w:val="0"/>
          <w:color w:val="auto"/>
          <w:sz w:val="22"/>
          <w:szCs w:val="22"/>
        </w:rPr>
        <w:t>The following are also considered to be components of borrowing costs that are also eligible for capitalization:</w:t>
      </w:r>
      <w:r w:rsidRPr="00E86CCD">
        <w:rPr>
          <w:b w:val="0"/>
          <w:color w:val="auto"/>
          <w:sz w:val="22"/>
          <w:szCs w:val="22"/>
        </w:rPr>
        <w:t xml:space="preserve"> </w:t>
      </w:r>
    </w:p>
    <w:p w14:paraId="2C47BB6E" w14:textId="77777777" w:rsidR="000B4F8E" w:rsidRDefault="000B4F8E" w:rsidP="001D64F7">
      <w:pPr>
        <w:pStyle w:val="RoundBullet"/>
        <w:numPr>
          <w:ilvl w:val="0"/>
          <w:numId w:val="40"/>
        </w:numPr>
        <w:tabs>
          <w:tab w:val="clear" w:pos="4176"/>
          <w:tab w:val="num" w:pos="1080"/>
        </w:tabs>
        <w:ind w:hanging="3456"/>
      </w:pPr>
      <w:r>
        <w:t>interest cost c</w:t>
      </w:r>
      <w:r w:rsidRPr="00E86CCD">
        <w:t>alculated using the effective interest method</w:t>
      </w:r>
      <w:r>
        <w:t xml:space="preserve"> under IAS 39</w:t>
      </w:r>
      <w:r w:rsidRPr="00E86CCD">
        <w:t xml:space="preserve"> </w:t>
      </w:r>
    </w:p>
    <w:p w14:paraId="2C47BB6F" w14:textId="77777777" w:rsidR="000B4F8E" w:rsidRDefault="000B4F8E" w:rsidP="001D64F7">
      <w:pPr>
        <w:pStyle w:val="RoundBullet"/>
        <w:numPr>
          <w:ilvl w:val="0"/>
          <w:numId w:val="40"/>
        </w:numPr>
        <w:tabs>
          <w:tab w:val="clear" w:pos="4176"/>
          <w:tab w:val="num" w:pos="1080"/>
        </w:tabs>
        <w:ind w:left="1080" w:hanging="360"/>
      </w:pPr>
      <w:r w:rsidRPr="00E86CCD">
        <w:t>finance charges in res</w:t>
      </w:r>
      <w:r>
        <w:t xml:space="preserve">pect of finance leases to be recognized in accordance with IAS 17 </w:t>
      </w:r>
      <w:r w:rsidRPr="00252493">
        <w:rPr>
          <w:i/>
          <w:color w:val="000080"/>
        </w:rPr>
        <w:t>(</w:t>
      </w:r>
      <w:r>
        <w:rPr>
          <w:i/>
          <w:color w:val="000080"/>
        </w:rPr>
        <w:t xml:space="preserve">see </w:t>
      </w:r>
      <w:r w:rsidRPr="00252493">
        <w:rPr>
          <w:i/>
          <w:color w:val="000080"/>
        </w:rPr>
        <w:t>Leases)</w:t>
      </w:r>
    </w:p>
    <w:p w14:paraId="2C47BB70" w14:textId="77777777" w:rsidR="000B4F8E" w:rsidRDefault="000B4F8E" w:rsidP="001D64F7">
      <w:pPr>
        <w:pStyle w:val="RoundBullet"/>
        <w:numPr>
          <w:ilvl w:val="0"/>
          <w:numId w:val="40"/>
        </w:numPr>
        <w:tabs>
          <w:tab w:val="clear" w:pos="4176"/>
          <w:tab w:val="num" w:pos="1080"/>
        </w:tabs>
        <w:ind w:left="1080" w:hanging="360"/>
      </w:pPr>
      <w:r w:rsidRPr="00E86CCD">
        <w:t xml:space="preserve">exchange </w:t>
      </w:r>
      <w:r>
        <w:t xml:space="preserve">rate </w:t>
      </w:r>
      <w:r w:rsidRPr="00E86CCD">
        <w:t xml:space="preserve">differences </w:t>
      </w:r>
      <w:r>
        <w:t xml:space="preserve">arising from borrowing in a foreign currency </w:t>
      </w:r>
      <w:r w:rsidRPr="00E86CCD">
        <w:t xml:space="preserve">to the extent that </w:t>
      </w:r>
      <w:r>
        <w:t xml:space="preserve">it can be </w:t>
      </w:r>
      <w:r w:rsidRPr="00E86CCD">
        <w:t xml:space="preserve">regarded as an adjustment to interest </w:t>
      </w:r>
      <w:r>
        <w:t>costs in accordance with IAS 23.6</w:t>
      </w:r>
    </w:p>
    <w:p w14:paraId="2C47BB71" w14:textId="77777777" w:rsidR="000B4F8E" w:rsidRDefault="000B4F8E" w:rsidP="00CA00D7">
      <w:pPr>
        <w:pStyle w:val="RoundBullet"/>
        <w:numPr>
          <w:ilvl w:val="0"/>
          <w:numId w:val="0"/>
        </w:numPr>
        <w:tabs>
          <w:tab w:val="num" w:pos="1080"/>
        </w:tabs>
        <w:ind w:left="720"/>
      </w:pPr>
    </w:p>
    <w:p w14:paraId="2C47BB72" w14:textId="77777777" w:rsidR="000B4F8E" w:rsidRPr="00CA00D7" w:rsidRDefault="000B4F8E" w:rsidP="001D64F7">
      <w:pPr>
        <w:pStyle w:val="RoundBullet"/>
        <w:numPr>
          <w:ilvl w:val="1"/>
          <w:numId w:val="46"/>
        </w:numPr>
        <w:tabs>
          <w:tab w:val="clear" w:pos="360"/>
          <w:tab w:val="left" w:pos="0"/>
        </w:tabs>
        <w:rPr>
          <w:b/>
          <w:color w:val="000080"/>
          <w:sz w:val="24"/>
          <w:szCs w:val="24"/>
        </w:rPr>
      </w:pPr>
      <w:r w:rsidRPr="00CA00D7">
        <w:rPr>
          <w:b/>
          <w:color w:val="000080"/>
          <w:sz w:val="24"/>
          <w:szCs w:val="24"/>
        </w:rPr>
        <w:t>Measurement (IAS 23.13-16, IAS 23.18-19)</w:t>
      </w:r>
    </w:p>
    <w:p w14:paraId="2C47BB73" w14:textId="77777777" w:rsidR="000B4F8E" w:rsidRDefault="000B4F8E" w:rsidP="00CA00D7">
      <w:pPr>
        <w:pStyle w:val="RoundBullet"/>
        <w:numPr>
          <w:ilvl w:val="0"/>
          <w:numId w:val="0"/>
        </w:numPr>
        <w:tabs>
          <w:tab w:val="clear" w:pos="360"/>
          <w:tab w:val="left" w:pos="0"/>
        </w:tabs>
      </w:pPr>
      <w:r>
        <w:t>The extent to which a borrowing cost can be capitalized is determined and measured according to the following criteria:</w:t>
      </w:r>
    </w:p>
    <w:p w14:paraId="2C47BB74" w14:textId="615E08EE" w:rsidR="000B4F8E" w:rsidRPr="00CA00D7" w:rsidRDefault="000B4F8E" w:rsidP="001D64F7">
      <w:pPr>
        <w:pStyle w:val="RoundBullet"/>
        <w:numPr>
          <w:ilvl w:val="0"/>
          <w:numId w:val="47"/>
        </w:numPr>
        <w:tabs>
          <w:tab w:val="clear" w:pos="360"/>
          <w:tab w:val="clear" w:pos="3816"/>
          <w:tab w:val="left" w:pos="0"/>
          <w:tab w:val="num" w:pos="1080"/>
        </w:tabs>
        <w:ind w:left="1080" w:hanging="360"/>
        <w:rPr>
          <w:b/>
          <w:i/>
        </w:rPr>
      </w:pPr>
      <w:r>
        <w:t>The amounts considered for capitalization must be net of any investment income earned that has occurred as a result of investing the borrowings and by any progress payments (IAS 23.12)</w:t>
      </w:r>
      <w:r w:rsidR="008C6816">
        <w:t>.</w:t>
      </w:r>
      <w:r>
        <w:t xml:space="preserve">  </w:t>
      </w:r>
    </w:p>
    <w:p w14:paraId="2C47BB75" w14:textId="15E06188" w:rsidR="000B4F8E" w:rsidRPr="00CA00D7" w:rsidRDefault="000B4F8E" w:rsidP="001D64F7">
      <w:pPr>
        <w:pStyle w:val="RoundBullet"/>
        <w:numPr>
          <w:ilvl w:val="0"/>
          <w:numId w:val="47"/>
        </w:numPr>
        <w:tabs>
          <w:tab w:val="clear" w:pos="360"/>
          <w:tab w:val="clear" w:pos="3816"/>
          <w:tab w:val="left" w:pos="0"/>
          <w:tab w:val="num" w:pos="1080"/>
        </w:tabs>
        <w:ind w:left="1080" w:hanging="360"/>
        <w:rPr>
          <w:b/>
        </w:rPr>
      </w:pPr>
      <w:r w:rsidRPr="00CA00D7">
        <w:t>When borrowing costs are part of a “general” pool used to acquire assets</w:t>
      </w:r>
      <w:r w:rsidR="008C6816">
        <w:t>,</w:t>
      </w:r>
      <w:r w:rsidRPr="00CA00D7">
        <w:t xml:space="preserve"> a capitalization rate must be applied to determine what needs to be capitalized with each asset. This capitalization rate is the weighted average of the borrowing costs that are outstanding during the period other than those made specifically for obtaining the asset.  The amount capitalized over a period </w:t>
      </w:r>
      <w:r w:rsidR="00BC7F73" w:rsidRPr="00CA00D7">
        <w:t>cannot</w:t>
      </w:r>
      <w:r w:rsidR="00BD2167">
        <w:t>,</w:t>
      </w:r>
      <w:r w:rsidRPr="00CA00D7">
        <w:t xml:space="preserve"> however</w:t>
      </w:r>
      <w:r w:rsidR="00BD2167">
        <w:t>.</w:t>
      </w:r>
      <w:r w:rsidRPr="00CA00D7">
        <w:t xml:space="preserve"> </w:t>
      </w:r>
      <w:proofErr w:type="gramStart"/>
      <w:r w:rsidRPr="00CA00D7">
        <w:t>exceed</w:t>
      </w:r>
      <w:proofErr w:type="gramEnd"/>
      <w:r w:rsidRPr="00CA00D7">
        <w:t xml:space="preserve"> the amount of borrowing costs incurred during a period (IAS 23.14)</w:t>
      </w:r>
      <w:r w:rsidR="008C6816">
        <w:t>.</w:t>
      </w:r>
      <w:r w:rsidRPr="00CA00D7">
        <w:t xml:space="preserve">  </w:t>
      </w:r>
    </w:p>
    <w:p w14:paraId="2C47BB76" w14:textId="1A6CC754" w:rsidR="000B4F8E" w:rsidRPr="00CA00D7" w:rsidRDefault="000B4F8E" w:rsidP="001D64F7">
      <w:pPr>
        <w:pStyle w:val="RoundBullet"/>
        <w:numPr>
          <w:ilvl w:val="0"/>
          <w:numId w:val="47"/>
        </w:numPr>
        <w:tabs>
          <w:tab w:val="clear" w:pos="360"/>
          <w:tab w:val="clear" w:pos="3816"/>
          <w:tab w:val="left" w:pos="0"/>
          <w:tab w:val="num" w:pos="1080"/>
        </w:tabs>
        <w:ind w:left="1080" w:hanging="360"/>
        <w:rPr>
          <w:b/>
          <w:color w:val="auto"/>
        </w:rPr>
      </w:pPr>
      <w:r w:rsidRPr="00CA00D7">
        <w:t>If the carrying amount or the expected cost of the asset exceeds its recoverable amount or net realizable value</w:t>
      </w:r>
      <w:r w:rsidR="00BD2167">
        <w:t>,</w:t>
      </w:r>
      <w:r w:rsidRPr="00CA00D7">
        <w:t xml:space="preserve"> it must be written down in accordance with the IAS 23.16 and </w:t>
      </w:r>
      <w:r w:rsidRPr="00CA00D7">
        <w:rPr>
          <w:i/>
        </w:rPr>
        <w:t xml:space="preserve">Samsonite Policy 2 Property, Plant and Equipment. </w:t>
      </w:r>
    </w:p>
    <w:p w14:paraId="2C47BB77" w14:textId="5777D262" w:rsidR="000B4F8E" w:rsidRDefault="000B4F8E" w:rsidP="001D64F7">
      <w:pPr>
        <w:pStyle w:val="RoundBullet"/>
        <w:numPr>
          <w:ilvl w:val="0"/>
          <w:numId w:val="47"/>
        </w:numPr>
        <w:tabs>
          <w:tab w:val="clear" w:pos="360"/>
          <w:tab w:val="clear" w:pos="3816"/>
          <w:tab w:val="left" w:pos="0"/>
          <w:tab w:val="num" w:pos="1080"/>
        </w:tabs>
        <w:ind w:left="1080" w:hanging="360"/>
        <w:rPr>
          <w:color w:val="auto"/>
        </w:rPr>
      </w:pPr>
      <w:r w:rsidRPr="00CA00D7">
        <w:rPr>
          <w:color w:val="auto"/>
        </w:rPr>
        <w:t xml:space="preserve">Any grants associated with the acquisition of an asset must be used to reduce </w:t>
      </w:r>
      <w:proofErr w:type="gramStart"/>
      <w:r w:rsidRPr="00CA00D7">
        <w:rPr>
          <w:color w:val="auto"/>
        </w:rPr>
        <w:t>expenditures  (</w:t>
      </w:r>
      <w:proofErr w:type="gramEnd"/>
      <w:r w:rsidRPr="00CA00D7">
        <w:rPr>
          <w:color w:val="auto"/>
        </w:rPr>
        <w:t>IAS 23.18)</w:t>
      </w:r>
      <w:r w:rsidR="008C6816">
        <w:rPr>
          <w:color w:val="auto"/>
        </w:rPr>
        <w:t>.</w:t>
      </w:r>
      <w:r w:rsidRPr="00CA00D7">
        <w:rPr>
          <w:color w:val="auto"/>
        </w:rPr>
        <w:t xml:space="preserve"> </w:t>
      </w:r>
    </w:p>
    <w:p w14:paraId="2C47BB78" w14:textId="77777777" w:rsidR="000B4F8E" w:rsidRPr="00CA00D7" w:rsidRDefault="000B4F8E" w:rsidP="00CA00D7">
      <w:pPr>
        <w:pStyle w:val="RoundBullet"/>
        <w:numPr>
          <w:ilvl w:val="0"/>
          <w:numId w:val="0"/>
        </w:numPr>
        <w:tabs>
          <w:tab w:val="clear" w:pos="360"/>
          <w:tab w:val="left" w:pos="0"/>
        </w:tabs>
        <w:ind w:left="720"/>
        <w:rPr>
          <w:color w:val="auto"/>
        </w:rPr>
      </w:pPr>
      <w:r w:rsidRPr="00CA00D7">
        <w:rPr>
          <w:color w:val="auto"/>
        </w:rPr>
        <w:t xml:space="preserve"> </w:t>
      </w:r>
    </w:p>
    <w:p w14:paraId="2C47BB79" w14:textId="77777777" w:rsidR="000B4F8E" w:rsidRDefault="000B4F8E" w:rsidP="001D64F7">
      <w:pPr>
        <w:pStyle w:val="Head1"/>
        <w:numPr>
          <w:ilvl w:val="2"/>
          <w:numId w:val="41"/>
        </w:numPr>
      </w:pPr>
      <w:r>
        <w:lastRenderedPageBreak/>
        <w:t>Period of Capitalization (IAS 23.17-19)</w:t>
      </w:r>
    </w:p>
    <w:p w14:paraId="2C47BB7A" w14:textId="2ACED0BF" w:rsidR="000B4F8E" w:rsidRDefault="000B4F8E" w:rsidP="001D64F7">
      <w:pPr>
        <w:pStyle w:val="Head1"/>
        <w:numPr>
          <w:ilvl w:val="3"/>
          <w:numId w:val="44"/>
        </w:numPr>
      </w:pPr>
      <w:r>
        <w:t>Commencement of Capitalization (IAS 23.17-19)</w:t>
      </w:r>
    </w:p>
    <w:p w14:paraId="2C47BB7B" w14:textId="77777777" w:rsidR="000B4F8E" w:rsidRDefault="000B4F8E" w:rsidP="00CA00D7">
      <w:pPr>
        <w:pStyle w:val="Head1"/>
        <w:spacing w:after="0"/>
        <w:rPr>
          <w:b w:val="0"/>
          <w:color w:val="auto"/>
          <w:sz w:val="22"/>
          <w:szCs w:val="22"/>
        </w:rPr>
      </w:pPr>
      <w:r w:rsidRPr="0067426C">
        <w:rPr>
          <w:b w:val="0"/>
          <w:color w:val="auto"/>
          <w:sz w:val="22"/>
          <w:szCs w:val="22"/>
        </w:rPr>
        <w:t xml:space="preserve">Capitalization begins when: </w:t>
      </w:r>
    </w:p>
    <w:p w14:paraId="2C47BB7C" w14:textId="5A279AAF" w:rsidR="000B4F8E" w:rsidRDefault="000B4F8E" w:rsidP="001D64F7">
      <w:pPr>
        <w:pStyle w:val="RoundBullet"/>
        <w:numPr>
          <w:ilvl w:val="0"/>
          <w:numId w:val="42"/>
        </w:numPr>
        <w:tabs>
          <w:tab w:val="clear" w:pos="4176"/>
          <w:tab w:val="num" w:pos="720"/>
        </w:tabs>
        <w:ind w:hanging="3816"/>
      </w:pPr>
      <w:r w:rsidRPr="0067426C">
        <w:t>expenditures for the asset are being incurred</w:t>
      </w:r>
      <w:r w:rsidR="00BD2167">
        <w:t>;</w:t>
      </w:r>
      <w:r w:rsidRPr="0067426C">
        <w:t xml:space="preserve"> </w:t>
      </w:r>
    </w:p>
    <w:p w14:paraId="2C47BB7D" w14:textId="3C661C1E" w:rsidR="000B4F8E" w:rsidRDefault="000B4F8E" w:rsidP="001D64F7">
      <w:pPr>
        <w:pStyle w:val="RoundBullet"/>
        <w:numPr>
          <w:ilvl w:val="0"/>
          <w:numId w:val="42"/>
        </w:numPr>
        <w:tabs>
          <w:tab w:val="clear" w:pos="4176"/>
          <w:tab w:val="num" w:pos="720"/>
        </w:tabs>
        <w:ind w:hanging="3816"/>
      </w:pPr>
      <w:r w:rsidRPr="0067426C">
        <w:t>borrowing costs are being incurred</w:t>
      </w:r>
      <w:r w:rsidR="00BD2167">
        <w:t>;</w:t>
      </w:r>
      <w:r w:rsidRPr="0067426C">
        <w:t xml:space="preserve"> </w:t>
      </w:r>
    </w:p>
    <w:p w14:paraId="2C47BB7E" w14:textId="77777777" w:rsidR="000B4F8E" w:rsidRDefault="000B4F8E" w:rsidP="001D64F7">
      <w:pPr>
        <w:pStyle w:val="RoundBullet"/>
        <w:numPr>
          <w:ilvl w:val="0"/>
          <w:numId w:val="42"/>
        </w:numPr>
        <w:tabs>
          <w:tab w:val="clear" w:pos="4176"/>
          <w:tab w:val="num" w:pos="720"/>
        </w:tabs>
        <w:ind w:left="720" w:hanging="360"/>
      </w:pPr>
      <w:r w:rsidRPr="0067426C">
        <w:t xml:space="preserve">activities that are necessary to prepare the asset for its intended use or sale are in </w:t>
      </w:r>
      <w:r>
        <w:t>p</w:t>
      </w:r>
      <w:r w:rsidRPr="0067426C">
        <w:t xml:space="preserve">rogress. </w:t>
      </w:r>
    </w:p>
    <w:p w14:paraId="2C47BB7F" w14:textId="355B63F9" w:rsidR="000B4F8E" w:rsidRPr="00734A65" w:rsidRDefault="000B4F8E" w:rsidP="00CA00D7">
      <w:pPr>
        <w:pStyle w:val="Head1"/>
        <w:rPr>
          <w:b w:val="0"/>
          <w:color w:val="auto"/>
          <w:sz w:val="22"/>
          <w:szCs w:val="22"/>
        </w:rPr>
      </w:pPr>
      <w:r>
        <w:rPr>
          <w:b w:val="0"/>
          <w:color w:val="auto"/>
          <w:sz w:val="22"/>
          <w:szCs w:val="22"/>
        </w:rPr>
        <w:t>Borrowing costs incurred while an asset is in the development stage are eligible to be capitalized, however</w:t>
      </w:r>
      <w:r w:rsidR="00BD2167">
        <w:rPr>
          <w:b w:val="0"/>
          <w:color w:val="auto"/>
          <w:sz w:val="22"/>
          <w:szCs w:val="22"/>
        </w:rPr>
        <w:t>,</w:t>
      </w:r>
      <w:r>
        <w:rPr>
          <w:b w:val="0"/>
          <w:color w:val="auto"/>
          <w:sz w:val="22"/>
          <w:szCs w:val="22"/>
        </w:rPr>
        <w:t xml:space="preserve"> if the asset is “dormant” then any borrowing costs associated with such asset must be expensed.  For example:  The borrowing costs associated with land can be capitalized if the land is in its development stage</w:t>
      </w:r>
      <w:r w:rsidR="00BD2167">
        <w:rPr>
          <w:b w:val="0"/>
          <w:color w:val="auto"/>
          <w:sz w:val="22"/>
          <w:szCs w:val="22"/>
        </w:rPr>
        <w:t>,</w:t>
      </w:r>
      <w:r>
        <w:rPr>
          <w:b w:val="0"/>
          <w:color w:val="auto"/>
          <w:sz w:val="22"/>
          <w:szCs w:val="22"/>
        </w:rPr>
        <w:t xml:space="preserve"> but if the land is not yet in the development stage and “nothing” is happening then these costs must be expensed in the period incurred. (IAS 23.19)</w:t>
      </w:r>
    </w:p>
    <w:p w14:paraId="2C47BB80" w14:textId="5B2AEC61" w:rsidR="000B4F8E" w:rsidRPr="006A3D63" w:rsidRDefault="000B4F8E" w:rsidP="001D64F7">
      <w:pPr>
        <w:pStyle w:val="RoundBullet"/>
        <w:numPr>
          <w:ilvl w:val="2"/>
          <w:numId w:val="45"/>
        </w:numPr>
        <w:rPr>
          <w:b/>
          <w:color w:val="000080"/>
          <w:sz w:val="24"/>
          <w:szCs w:val="24"/>
        </w:rPr>
      </w:pPr>
      <w:r>
        <w:rPr>
          <w:b/>
          <w:color w:val="000080"/>
          <w:sz w:val="24"/>
          <w:szCs w:val="24"/>
        </w:rPr>
        <w:t>Suspension of Capitalization (IAS 23.20</w:t>
      </w:r>
      <w:r w:rsidRPr="00734A65">
        <w:rPr>
          <w:b/>
          <w:color w:val="000080"/>
          <w:sz w:val="24"/>
          <w:szCs w:val="24"/>
        </w:rPr>
        <w:t>-</w:t>
      </w:r>
      <w:r>
        <w:rPr>
          <w:b/>
          <w:color w:val="000080"/>
          <w:sz w:val="24"/>
          <w:szCs w:val="24"/>
        </w:rPr>
        <w:t>2</w:t>
      </w:r>
      <w:r w:rsidRPr="00734A65">
        <w:rPr>
          <w:b/>
          <w:color w:val="000080"/>
          <w:sz w:val="24"/>
          <w:szCs w:val="24"/>
        </w:rPr>
        <w:t>1)</w:t>
      </w:r>
    </w:p>
    <w:p w14:paraId="2C47BB81" w14:textId="77777777" w:rsidR="000B4F8E" w:rsidRDefault="000B4F8E" w:rsidP="00CA00D7">
      <w:pPr>
        <w:pStyle w:val="Head1"/>
        <w:rPr>
          <w:b w:val="0"/>
          <w:color w:val="auto"/>
          <w:sz w:val="22"/>
          <w:szCs w:val="22"/>
        </w:rPr>
      </w:pPr>
      <w:r w:rsidRPr="0067426C">
        <w:rPr>
          <w:b w:val="0"/>
          <w:color w:val="auto"/>
          <w:sz w:val="22"/>
          <w:szCs w:val="22"/>
        </w:rPr>
        <w:t xml:space="preserve">The capitalization of borrowing costs is suspended during extended periods in which active development is interrupted. </w:t>
      </w:r>
      <w:r>
        <w:rPr>
          <w:b w:val="0"/>
          <w:color w:val="auto"/>
          <w:sz w:val="22"/>
          <w:szCs w:val="22"/>
        </w:rPr>
        <w:t xml:space="preserve">If the activity is suspended any incurred borrowing costs must be expensed. </w:t>
      </w:r>
    </w:p>
    <w:p w14:paraId="2C47BB82" w14:textId="18BB1989" w:rsidR="000B4F8E" w:rsidRPr="006A3D63" w:rsidRDefault="000B4F8E" w:rsidP="001D64F7">
      <w:pPr>
        <w:pStyle w:val="RoundBullet"/>
        <w:numPr>
          <w:ilvl w:val="2"/>
          <w:numId w:val="45"/>
        </w:numPr>
        <w:rPr>
          <w:b/>
          <w:color w:val="000080"/>
          <w:sz w:val="24"/>
          <w:szCs w:val="24"/>
        </w:rPr>
      </w:pPr>
      <w:r w:rsidRPr="006A3D63">
        <w:rPr>
          <w:b/>
          <w:color w:val="000080"/>
          <w:sz w:val="24"/>
          <w:szCs w:val="24"/>
        </w:rPr>
        <w:t>Cessation of Capitalization (IAS 23.</w:t>
      </w:r>
      <w:r>
        <w:rPr>
          <w:b/>
          <w:color w:val="000080"/>
          <w:sz w:val="24"/>
          <w:szCs w:val="24"/>
        </w:rPr>
        <w:t>22</w:t>
      </w:r>
      <w:r w:rsidRPr="006A3D63">
        <w:rPr>
          <w:b/>
          <w:color w:val="000080"/>
          <w:sz w:val="24"/>
          <w:szCs w:val="24"/>
        </w:rPr>
        <w:t>-2</w:t>
      </w:r>
      <w:r>
        <w:rPr>
          <w:b/>
          <w:color w:val="000080"/>
          <w:sz w:val="24"/>
          <w:szCs w:val="24"/>
        </w:rPr>
        <w:t>5</w:t>
      </w:r>
      <w:r w:rsidRPr="006A3D63">
        <w:rPr>
          <w:b/>
          <w:color w:val="000080"/>
          <w:sz w:val="24"/>
          <w:szCs w:val="24"/>
        </w:rPr>
        <w:t>)</w:t>
      </w:r>
    </w:p>
    <w:p w14:paraId="2C47BB83" w14:textId="5CCF5D82" w:rsidR="000B4F8E" w:rsidRDefault="000B4F8E" w:rsidP="00D16C17">
      <w:pPr>
        <w:pStyle w:val="RoundBullet"/>
        <w:numPr>
          <w:ilvl w:val="0"/>
          <w:numId w:val="0"/>
        </w:numPr>
        <w:spacing w:after="200"/>
      </w:pPr>
      <w:r w:rsidRPr="0067426C">
        <w:t>Capitalization ceases when the activities necessary to prepare the asset for its intended use or sale are complete.</w:t>
      </w:r>
      <w:r>
        <w:t xml:space="preserve">  When the physical construction of the asset is complete even though there might be minor modifications or routine administrative work it is still considered to be complete.  Simply stated, if a part of an asset is capable of being used</w:t>
      </w:r>
      <w:r w:rsidR="008C6816">
        <w:t>,</w:t>
      </w:r>
      <w:bookmarkStart w:id="0" w:name="_GoBack"/>
      <w:bookmarkEnd w:id="0"/>
      <w:r>
        <w:t xml:space="preserve"> then the borrowing costs associated with that part can cease to be capitalized. </w:t>
      </w:r>
    </w:p>
    <w:p w14:paraId="2C47BB85" w14:textId="3B9F417E" w:rsidR="000B4F8E" w:rsidRPr="00D16C17" w:rsidRDefault="00781E18" w:rsidP="001D64F7">
      <w:pPr>
        <w:pStyle w:val="RoundBullet"/>
        <w:numPr>
          <w:ilvl w:val="1"/>
          <w:numId w:val="45"/>
        </w:numPr>
        <w:spacing w:after="200"/>
        <w:rPr>
          <w:b/>
          <w:color w:val="000080"/>
          <w:sz w:val="24"/>
          <w:szCs w:val="24"/>
        </w:rPr>
      </w:pPr>
      <w:r>
        <w:rPr>
          <w:b/>
          <w:color w:val="000080"/>
          <w:sz w:val="24"/>
          <w:szCs w:val="24"/>
        </w:rPr>
        <w:t>Effective Date</w:t>
      </w:r>
    </w:p>
    <w:p w14:paraId="2C47BB86" w14:textId="773E7E39" w:rsidR="000B4F8E" w:rsidRDefault="000B4F8E" w:rsidP="00D16C17">
      <w:pPr>
        <w:pStyle w:val="RoundBullet"/>
        <w:numPr>
          <w:ilvl w:val="0"/>
          <w:numId w:val="0"/>
        </w:numPr>
        <w:spacing w:after="200"/>
      </w:pPr>
      <w:r>
        <w:t xml:space="preserve">The effective date for the capitalization of borrowing costs is on or after January 1, 2009.  </w:t>
      </w:r>
    </w:p>
    <w:p w14:paraId="2C47BB87" w14:textId="77777777" w:rsidR="000B4F8E" w:rsidRPr="00D16C17" w:rsidRDefault="000B4F8E" w:rsidP="00D16C17">
      <w:pPr>
        <w:pStyle w:val="Head1"/>
        <w:rPr>
          <w:b w:val="0"/>
          <w:color w:val="auto"/>
          <w:sz w:val="22"/>
          <w:szCs w:val="22"/>
        </w:rPr>
      </w:pPr>
      <w:r>
        <w:br w:type="page"/>
      </w:r>
      <w:r w:rsidRPr="00CA00D7">
        <w:lastRenderedPageBreak/>
        <w:t>18.7</w:t>
      </w:r>
      <w:r w:rsidRPr="00CA00D7">
        <w:tab/>
        <w:t>Disclosure</w:t>
      </w:r>
    </w:p>
    <w:p w14:paraId="2C47BB88" w14:textId="337D36D6" w:rsidR="000B4F8E" w:rsidRPr="00CF08CA" w:rsidRDefault="00781E18" w:rsidP="00CA00D7">
      <w:pPr>
        <w:autoSpaceDE w:val="0"/>
        <w:autoSpaceDN w:val="0"/>
        <w:adjustRightInd w:val="0"/>
        <w:spacing w:after="0" w:line="240" w:lineRule="auto"/>
        <w:rPr>
          <w:bCs/>
        </w:rPr>
      </w:pPr>
      <w:r>
        <w:rPr>
          <w:bCs/>
        </w:rPr>
        <w:t>The Group is</w:t>
      </w:r>
      <w:r w:rsidR="000B4F8E" w:rsidRPr="00CF08CA">
        <w:rPr>
          <w:bCs/>
        </w:rPr>
        <w:t xml:space="preserve"> required to disclose th</w:t>
      </w:r>
      <w:r w:rsidR="000B4F8E">
        <w:rPr>
          <w:bCs/>
        </w:rPr>
        <w:t xml:space="preserve">e following items when </w:t>
      </w:r>
      <w:r w:rsidR="000B4F8E" w:rsidRPr="00CF08CA">
        <w:rPr>
          <w:bCs/>
        </w:rPr>
        <w:t>capitaliz</w:t>
      </w:r>
      <w:r w:rsidR="000B4F8E">
        <w:rPr>
          <w:bCs/>
        </w:rPr>
        <w:t xml:space="preserve">ing </w:t>
      </w:r>
      <w:r w:rsidR="000B4F8E" w:rsidRPr="00CF08CA">
        <w:rPr>
          <w:bCs/>
        </w:rPr>
        <w:t>borrowing costs:</w:t>
      </w:r>
    </w:p>
    <w:p w14:paraId="2C47BB89" w14:textId="77777777" w:rsidR="000B4F8E" w:rsidRDefault="000B4F8E" w:rsidP="001D64F7">
      <w:pPr>
        <w:numPr>
          <w:ilvl w:val="0"/>
          <w:numId w:val="43"/>
        </w:numPr>
        <w:tabs>
          <w:tab w:val="clear" w:pos="3816"/>
          <w:tab w:val="num" w:pos="720"/>
        </w:tabs>
        <w:autoSpaceDE w:val="0"/>
        <w:autoSpaceDN w:val="0"/>
        <w:adjustRightInd w:val="0"/>
        <w:spacing w:after="0" w:line="240" w:lineRule="auto"/>
        <w:ind w:hanging="3216"/>
        <w:rPr>
          <w:bCs/>
        </w:rPr>
      </w:pPr>
      <w:r>
        <w:rPr>
          <w:bCs/>
        </w:rPr>
        <w:t xml:space="preserve"> </w:t>
      </w:r>
      <w:r w:rsidRPr="00CF08CA">
        <w:rPr>
          <w:bCs/>
        </w:rPr>
        <w:t>the amo</w:t>
      </w:r>
      <w:r>
        <w:rPr>
          <w:bCs/>
        </w:rPr>
        <w:t>unt of borrowing costs capitalized during the period</w:t>
      </w:r>
    </w:p>
    <w:p w14:paraId="2C47BB8A" w14:textId="77777777" w:rsidR="000B4F8E" w:rsidRDefault="000B4F8E" w:rsidP="001D64F7">
      <w:pPr>
        <w:numPr>
          <w:ilvl w:val="0"/>
          <w:numId w:val="43"/>
        </w:numPr>
        <w:tabs>
          <w:tab w:val="clear" w:pos="3816"/>
          <w:tab w:val="num" w:pos="720"/>
        </w:tabs>
        <w:autoSpaceDE w:val="0"/>
        <w:autoSpaceDN w:val="0"/>
        <w:adjustRightInd w:val="0"/>
        <w:spacing w:after="0" w:line="240" w:lineRule="auto"/>
        <w:ind w:hanging="3216"/>
        <w:rPr>
          <w:bCs/>
        </w:rPr>
      </w:pPr>
      <w:r w:rsidRPr="00CF08CA">
        <w:rPr>
          <w:bCs/>
        </w:rPr>
        <w:t xml:space="preserve"> the capitali</w:t>
      </w:r>
      <w:r>
        <w:rPr>
          <w:bCs/>
        </w:rPr>
        <w:t>z</w:t>
      </w:r>
      <w:r w:rsidRPr="00CF08CA">
        <w:rPr>
          <w:bCs/>
        </w:rPr>
        <w:t>ation rate used to determine the amount of borrowing costs</w:t>
      </w:r>
    </w:p>
    <w:p w14:paraId="2C47BB8B" w14:textId="77777777" w:rsidR="000B4F8E" w:rsidRDefault="000B4F8E" w:rsidP="001D64F7">
      <w:pPr>
        <w:numPr>
          <w:ilvl w:val="0"/>
          <w:numId w:val="43"/>
        </w:numPr>
        <w:tabs>
          <w:tab w:val="clear" w:pos="3816"/>
          <w:tab w:val="num" w:pos="720"/>
        </w:tabs>
        <w:autoSpaceDE w:val="0"/>
        <w:autoSpaceDN w:val="0"/>
        <w:adjustRightInd w:val="0"/>
        <w:spacing w:after="0" w:line="240" w:lineRule="auto"/>
        <w:ind w:hanging="3216"/>
        <w:rPr>
          <w:bCs/>
        </w:rPr>
      </w:pPr>
      <w:r>
        <w:rPr>
          <w:bCs/>
        </w:rPr>
        <w:t xml:space="preserve"> if the capitalization of borrowing costs constitutes an accounting policy change </w:t>
      </w:r>
    </w:p>
    <w:p w14:paraId="2C47BB8D" w14:textId="77777777" w:rsidR="000B4F8E" w:rsidRDefault="000B4F8E" w:rsidP="009F710E">
      <w:pPr>
        <w:pStyle w:val="Default"/>
      </w:pPr>
    </w:p>
    <w:p w14:paraId="2C47BB8E" w14:textId="77777777" w:rsidR="000B4F8E" w:rsidRDefault="000B4F8E" w:rsidP="009F710E">
      <w:pPr>
        <w:pStyle w:val="Default"/>
        <w:sectPr w:rsidR="000B4F8E" w:rsidSect="006A1B4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656" w:header="720" w:footer="720" w:gutter="0"/>
          <w:pgNumType w:start="1"/>
          <w:cols w:space="720"/>
          <w:noEndnote/>
          <w:docGrid w:linePitch="360"/>
        </w:sectPr>
      </w:pPr>
    </w:p>
    <w:p w14:paraId="2C47BB8F" w14:textId="59816741" w:rsidR="004F3907" w:rsidRDefault="004F3907" w:rsidP="00036E31"/>
    <w:p w14:paraId="62807E87" w14:textId="77777777" w:rsidR="004F3907" w:rsidRPr="004F3907" w:rsidRDefault="004F3907" w:rsidP="004F3907"/>
    <w:p w14:paraId="19D0EB33" w14:textId="77777777" w:rsidR="004F3907" w:rsidRPr="004F3907" w:rsidRDefault="004F3907" w:rsidP="004F3907"/>
    <w:p w14:paraId="51CE4795" w14:textId="77777777" w:rsidR="004F3907" w:rsidRPr="004F3907" w:rsidRDefault="004F3907" w:rsidP="004F3907"/>
    <w:p w14:paraId="2D6CDAC0" w14:textId="77777777" w:rsidR="004F3907" w:rsidRPr="004F3907" w:rsidRDefault="004F3907" w:rsidP="004F3907"/>
    <w:p w14:paraId="530EED7E" w14:textId="77777777" w:rsidR="004F3907" w:rsidRPr="004F3907" w:rsidRDefault="004F3907" w:rsidP="004F3907"/>
    <w:p w14:paraId="3D8275A7" w14:textId="77777777" w:rsidR="004F3907" w:rsidRPr="004F3907" w:rsidRDefault="004F3907" w:rsidP="004F3907"/>
    <w:p w14:paraId="7B56A7E6" w14:textId="77777777" w:rsidR="004F3907" w:rsidRPr="004F3907" w:rsidRDefault="004F3907" w:rsidP="004F3907"/>
    <w:p w14:paraId="6FE2042B" w14:textId="77777777" w:rsidR="004F3907" w:rsidRPr="004F3907" w:rsidRDefault="004F3907" w:rsidP="004F3907"/>
    <w:p w14:paraId="060F79F5" w14:textId="77777777" w:rsidR="004F3907" w:rsidRPr="004F3907" w:rsidRDefault="004F3907" w:rsidP="004F3907"/>
    <w:p w14:paraId="46836C47" w14:textId="77777777" w:rsidR="004F3907" w:rsidRPr="004F3907" w:rsidRDefault="004F3907" w:rsidP="004F3907"/>
    <w:p w14:paraId="5463036D" w14:textId="3ADDC8FE" w:rsidR="004F3907" w:rsidRDefault="004F3907" w:rsidP="004F3907"/>
    <w:p w14:paraId="69749302" w14:textId="3838B2A8" w:rsidR="000B4F8E" w:rsidRPr="004F3907" w:rsidRDefault="004F3907" w:rsidP="004F3907">
      <w:pPr>
        <w:tabs>
          <w:tab w:val="left" w:pos="2412"/>
        </w:tabs>
      </w:pPr>
      <w:r>
        <w:tab/>
      </w:r>
    </w:p>
    <w:sectPr w:rsidR="000B4F8E" w:rsidRPr="004F3907" w:rsidSect="004B1D30">
      <w:headerReference w:type="default" r:id="rId18"/>
      <w:type w:val="continuous"/>
      <w:pgSz w:w="12240" w:h="15840"/>
      <w:pgMar w:top="1440" w:right="1440" w:bottom="1440" w:left="1656" w:header="720" w:footer="720" w:gutter="0"/>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3">
      <wne:acd wne:acdName="acd1"/>
    </wne:keymap>
    <wne:keymap wne:kcmPrimary="045A">
      <wne:acd wne:acdName="acd3"/>
    </wne:keymap>
    <wne:keymap wne:kcmPrimary="04C0">
      <wne:acd wne:acdName="acd2"/>
    </wne:keymap>
  </wne:keymaps>
  <wne:toolbars>
    <wne:acdManifest>
      <wne:acdEntry wne:acdName="acd0"/>
      <wne:acdEntry wne:acdName="acd1"/>
      <wne:acdEntry wne:acdName="acd2"/>
      <wne:acdEntry wne:acdName="acd3"/>
    </wne:acdManifest>
  </wne:toolbars>
  <wne:acds>
    <wne:acd wne:argValue="AgBUAGUAeAB0ADEAIABrAHcAbgA=" wne:acdName="acd0" wne:fciIndexBasedOn="0065"/>
    <wne:acd wne:argValue="AgBSAG8AdQBuAGQAIABCAHUAbABsAGUAdAAgAEwAYQBzAHQA" wne:acdName="acd1" wne:fciIndexBasedOn="0065"/>
    <wne:acd wne:argValue="AgBIAGUAYQBkADEA" wne:acdName="acd2" wne:fciIndexBasedOn="0065"/>
    <wne:acd wne:argValue="AgBUAGUAeAB0ADE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7BB92" w14:textId="77777777" w:rsidR="000B4F8E" w:rsidRPr="00847423" w:rsidRDefault="000B4F8E" w:rsidP="00847423">
      <w:pPr>
        <w:spacing w:after="0" w:line="240" w:lineRule="auto"/>
        <w:rPr>
          <w:rFonts w:ascii="Calibri" w:hAnsi="Calibri"/>
        </w:rPr>
      </w:pPr>
      <w:r>
        <w:separator/>
      </w:r>
    </w:p>
  </w:endnote>
  <w:endnote w:type="continuationSeparator" w:id="0">
    <w:p w14:paraId="2C47BB93" w14:textId="77777777" w:rsidR="000B4F8E" w:rsidRPr="00847423" w:rsidRDefault="000B4F8E" w:rsidP="00847423">
      <w:pPr>
        <w:spacing w:after="0" w:line="240" w:lineRule="auto"/>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D9603" w14:textId="77777777" w:rsidR="00BC7F73" w:rsidRDefault="00BC7F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16E2C" w14:textId="77777777" w:rsidR="00BC7F73" w:rsidRDefault="00BC7F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A32F1" w14:textId="77777777" w:rsidR="00BC7F73" w:rsidRDefault="00BC7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7BB90" w14:textId="77777777" w:rsidR="000B4F8E" w:rsidRPr="00847423" w:rsidRDefault="000B4F8E" w:rsidP="00847423">
      <w:pPr>
        <w:spacing w:after="0" w:line="240" w:lineRule="auto"/>
        <w:rPr>
          <w:rFonts w:ascii="Calibri" w:hAnsi="Calibri"/>
        </w:rPr>
      </w:pPr>
      <w:r>
        <w:separator/>
      </w:r>
    </w:p>
  </w:footnote>
  <w:footnote w:type="continuationSeparator" w:id="0">
    <w:p w14:paraId="2C47BB91" w14:textId="77777777" w:rsidR="000B4F8E" w:rsidRPr="00847423" w:rsidRDefault="000B4F8E" w:rsidP="00847423">
      <w:pPr>
        <w:spacing w:after="0" w:line="240" w:lineRule="auto"/>
        <w:rPr>
          <w:rFonts w:ascii="Calibri" w:hAnsi="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DB6DD" w14:textId="77777777" w:rsidR="00BC7F73" w:rsidRDefault="00BC7F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752"/>
      <w:gridCol w:w="3203"/>
      <w:gridCol w:w="3405"/>
    </w:tblGrid>
    <w:tr w:rsidR="000B4F8E" w:rsidRPr="000229A7" w14:paraId="2C47BB96" w14:textId="77777777" w:rsidTr="005144EB">
      <w:trPr>
        <w:trHeight w:val="690"/>
      </w:trPr>
      <w:tc>
        <w:tcPr>
          <w:tcW w:w="2752" w:type="dxa"/>
          <w:vMerge w:val="restart"/>
          <w:tcBorders>
            <w:top w:val="double" w:sz="4" w:space="0" w:color="000000"/>
            <w:left w:val="double" w:sz="4" w:space="0" w:color="000000"/>
            <w:right w:val="single" w:sz="4" w:space="0" w:color="000000"/>
          </w:tcBorders>
          <w:vAlign w:val="center"/>
        </w:tcPr>
        <w:p w14:paraId="2C47BB94" w14:textId="77777777" w:rsidR="000B4F8E" w:rsidRPr="003E162C" w:rsidRDefault="000B4F8E" w:rsidP="005144EB">
          <w:pPr>
            <w:pStyle w:val="Default"/>
            <w:jc w:val="center"/>
            <w:rPr>
              <w:b/>
              <w:color w:val="auto"/>
            </w:rPr>
          </w:pPr>
          <w:r>
            <w:rPr>
              <w:b/>
              <w:color w:val="auto"/>
            </w:rPr>
            <w:t>118</w:t>
          </w:r>
        </w:p>
      </w:tc>
      <w:tc>
        <w:tcPr>
          <w:tcW w:w="6608" w:type="dxa"/>
          <w:gridSpan w:val="2"/>
          <w:tcBorders>
            <w:top w:val="double" w:sz="4" w:space="0" w:color="000000"/>
            <w:left w:val="single" w:sz="4" w:space="0" w:color="000000"/>
            <w:bottom w:val="single" w:sz="4" w:space="0" w:color="000000"/>
            <w:right w:val="double" w:sz="4" w:space="0" w:color="000000"/>
          </w:tcBorders>
          <w:vAlign w:val="center"/>
        </w:tcPr>
        <w:p w14:paraId="2C47BB95" w14:textId="77777777" w:rsidR="000B4F8E" w:rsidRPr="000229A7" w:rsidRDefault="000B4F8E" w:rsidP="005144EB">
          <w:pPr>
            <w:pStyle w:val="Default"/>
            <w:jc w:val="center"/>
            <w:rPr>
              <w:b/>
              <w:sz w:val="22"/>
              <w:szCs w:val="22"/>
            </w:rPr>
          </w:pPr>
          <w:r w:rsidRPr="000229A7">
            <w:rPr>
              <w:b/>
              <w:sz w:val="22"/>
              <w:szCs w:val="22"/>
            </w:rPr>
            <w:t>INTERNATIONAL FINANCIAL REPORTING STANDARDS</w:t>
          </w:r>
        </w:p>
      </w:tc>
    </w:tr>
    <w:tr w:rsidR="000B4F8E" w:rsidRPr="000229A7" w14:paraId="2C47BB9A" w14:textId="77777777" w:rsidTr="004D5B63">
      <w:trPr>
        <w:trHeight w:val="735"/>
      </w:trPr>
      <w:tc>
        <w:tcPr>
          <w:tcW w:w="2752" w:type="dxa"/>
          <w:vMerge/>
          <w:tcBorders>
            <w:left w:val="double" w:sz="4" w:space="0" w:color="000000"/>
            <w:bottom w:val="single" w:sz="4" w:space="0" w:color="auto"/>
            <w:right w:val="single" w:sz="4" w:space="0" w:color="000000"/>
          </w:tcBorders>
        </w:tcPr>
        <w:p w14:paraId="2C47BB97" w14:textId="77777777" w:rsidR="000B4F8E" w:rsidRPr="000229A7" w:rsidRDefault="000B4F8E" w:rsidP="005144EB">
          <w:pPr>
            <w:pStyle w:val="Default"/>
            <w:rPr>
              <w:color w:val="auto"/>
            </w:rPr>
          </w:pPr>
        </w:p>
      </w:tc>
      <w:tc>
        <w:tcPr>
          <w:tcW w:w="3203" w:type="dxa"/>
          <w:vMerge w:val="restart"/>
          <w:tcBorders>
            <w:top w:val="single" w:sz="4" w:space="0" w:color="000000"/>
            <w:left w:val="single" w:sz="4" w:space="0" w:color="000000"/>
            <w:bottom w:val="nil"/>
            <w:right w:val="single" w:sz="6" w:space="0" w:color="000000"/>
          </w:tcBorders>
          <w:vAlign w:val="center"/>
        </w:tcPr>
        <w:p w14:paraId="2C47BB98" w14:textId="77777777" w:rsidR="000B4F8E" w:rsidRPr="000229A7" w:rsidRDefault="000B4F8E" w:rsidP="005144EB">
          <w:pPr>
            <w:pStyle w:val="Default"/>
            <w:jc w:val="center"/>
            <w:rPr>
              <w:sz w:val="22"/>
              <w:szCs w:val="22"/>
            </w:rPr>
          </w:pPr>
          <w:r w:rsidRPr="000229A7">
            <w:rPr>
              <w:b/>
              <w:bCs/>
              <w:sz w:val="22"/>
              <w:szCs w:val="22"/>
            </w:rPr>
            <w:t>ACCOUNTING MANUAL</w:t>
          </w:r>
        </w:p>
      </w:tc>
      <w:tc>
        <w:tcPr>
          <w:tcW w:w="3405" w:type="dxa"/>
          <w:vMerge w:val="restart"/>
          <w:tcBorders>
            <w:top w:val="single" w:sz="6" w:space="0" w:color="000000"/>
            <w:left w:val="single" w:sz="6" w:space="0" w:color="000000"/>
            <w:bottom w:val="nil"/>
            <w:right w:val="double" w:sz="6" w:space="0" w:color="000000"/>
          </w:tcBorders>
          <w:vAlign w:val="center"/>
        </w:tcPr>
        <w:p w14:paraId="2C47BB99" w14:textId="77777777" w:rsidR="000B4F8E" w:rsidRPr="003E162C" w:rsidRDefault="000B4F8E" w:rsidP="005144EB">
          <w:pPr>
            <w:pStyle w:val="Default"/>
            <w:jc w:val="center"/>
            <w:rPr>
              <w:b/>
            </w:rPr>
          </w:pPr>
          <w:r>
            <w:rPr>
              <w:b/>
            </w:rPr>
            <w:t>Borrowing Costs</w:t>
          </w:r>
        </w:p>
      </w:tc>
    </w:tr>
    <w:tr w:rsidR="000B4F8E" w:rsidRPr="000229A7" w14:paraId="2C47BB9E" w14:textId="77777777" w:rsidTr="004D5B63">
      <w:trPr>
        <w:trHeight w:val="396"/>
      </w:trPr>
      <w:tc>
        <w:tcPr>
          <w:tcW w:w="2752" w:type="dxa"/>
          <w:vMerge w:val="restart"/>
          <w:tcBorders>
            <w:top w:val="single" w:sz="4" w:space="0" w:color="auto"/>
            <w:left w:val="double" w:sz="4" w:space="0" w:color="000000"/>
            <w:right w:val="single" w:sz="4" w:space="0" w:color="000000"/>
          </w:tcBorders>
        </w:tcPr>
        <w:p w14:paraId="2C47BB9B" w14:textId="77777777" w:rsidR="000B4F8E" w:rsidRPr="002E2534" w:rsidRDefault="000B4F8E" w:rsidP="005144EB">
          <w:pPr>
            <w:pStyle w:val="Default"/>
            <w:spacing w:before="120"/>
            <w:jc w:val="center"/>
            <w:rPr>
              <w:b/>
              <w:color w:val="auto"/>
            </w:rPr>
          </w:pPr>
          <w:r>
            <w:rPr>
              <w:b/>
              <w:color w:val="auto"/>
            </w:rPr>
            <w:t>FINANCIAL</w:t>
          </w:r>
          <w:r>
            <w:rPr>
              <w:b/>
              <w:color w:val="auto"/>
            </w:rPr>
            <w:br/>
            <w:t>MANUAL</w:t>
          </w:r>
        </w:p>
      </w:tc>
      <w:tc>
        <w:tcPr>
          <w:tcW w:w="3203" w:type="dxa"/>
          <w:vMerge/>
          <w:tcBorders>
            <w:left w:val="single" w:sz="4" w:space="0" w:color="000000"/>
            <w:right w:val="single" w:sz="6" w:space="0" w:color="000000"/>
          </w:tcBorders>
          <w:vAlign w:val="center"/>
        </w:tcPr>
        <w:p w14:paraId="2C47BB9C" w14:textId="77777777" w:rsidR="000B4F8E" w:rsidRPr="000229A7" w:rsidRDefault="000B4F8E" w:rsidP="005144EB">
          <w:pPr>
            <w:pStyle w:val="Default"/>
            <w:jc w:val="center"/>
            <w:rPr>
              <w:b/>
              <w:bCs/>
              <w:sz w:val="22"/>
              <w:szCs w:val="22"/>
            </w:rPr>
          </w:pPr>
        </w:p>
      </w:tc>
      <w:tc>
        <w:tcPr>
          <w:tcW w:w="3405" w:type="dxa"/>
          <w:vMerge/>
          <w:tcBorders>
            <w:left w:val="single" w:sz="6" w:space="0" w:color="000000"/>
            <w:bottom w:val="single" w:sz="4" w:space="0" w:color="000000"/>
            <w:right w:val="double" w:sz="6" w:space="0" w:color="000000"/>
          </w:tcBorders>
        </w:tcPr>
        <w:p w14:paraId="2C47BB9D" w14:textId="77777777" w:rsidR="000B4F8E" w:rsidRPr="000229A7" w:rsidRDefault="000B4F8E" w:rsidP="005144EB">
          <w:pPr>
            <w:pStyle w:val="Default"/>
            <w:jc w:val="center"/>
            <w:rPr>
              <w:b/>
              <w:bCs/>
              <w:sz w:val="22"/>
              <w:szCs w:val="22"/>
            </w:rPr>
          </w:pPr>
        </w:p>
      </w:tc>
    </w:tr>
    <w:tr w:rsidR="000B4F8E" w:rsidRPr="000229A7" w14:paraId="2C47BBA2" w14:textId="77777777" w:rsidTr="00BC7F73">
      <w:trPr>
        <w:trHeight w:val="275"/>
      </w:trPr>
      <w:tc>
        <w:tcPr>
          <w:tcW w:w="2752" w:type="dxa"/>
          <w:vMerge/>
          <w:tcBorders>
            <w:left w:val="double" w:sz="4" w:space="0" w:color="000000"/>
            <w:right w:val="single" w:sz="4" w:space="0" w:color="000000"/>
          </w:tcBorders>
        </w:tcPr>
        <w:p w14:paraId="2C47BB9F" w14:textId="77777777" w:rsidR="000B4F8E" w:rsidRPr="000229A7" w:rsidRDefault="000B4F8E" w:rsidP="005144EB">
          <w:pPr>
            <w:pStyle w:val="Default"/>
            <w:rPr>
              <w:color w:val="auto"/>
            </w:rPr>
          </w:pPr>
        </w:p>
      </w:tc>
      <w:tc>
        <w:tcPr>
          <w:tcW w:w="3203" w:type="dxa"/>
          <w:vMerge/>
          <w:tcBorders>
            <w:left w:val="single" w:sz="4" w:space="0" w:color="000000"/>
            <w:right w:val="single" w:sz="4" w:space="0" w:color="000000"/>
          </w:tcBorders>
          <w:vAlign w:val="center"/>
        </w:tcPr>
        <w:p w14:paraId="2C47BBA0" w14:textId="77777777" w:rsidR="000B4F8E" w:rsidRPr="000229A7" w:rsidRDefault="000B4F8E" w:rsidP="005144EB">
          <w:pPr>
            <w:pStyle w:val="Default"/>
            <w:rPr>
              <w:color w:val="auto"/>
            </w:rPr>
          </w:pPr>
        </w:p>
      </w:tc>
      <w:tc>
        <w:tcPr>
          <w:tcW w:w="3405" w:type="dxa"/>
          <w:tcBorders>
            <w:top w:val="single" w:sz="4" w:space="0" w:color="000000"/>
            <w:left w:val="single" w:sz="4" w:space="0" w:color="000000"/>
            <w:bottom w:val="single" w:sz="4" w:space="0" w:color="000000"/>
            <w:right w:val="double" w:sz="4" w:space="0" w:color="000000"/>
          </w:tcBorders>
          <w:vAlign w:val="center"/>
        </w:tcPr>
        <w:p w14:paraId="2C47BBA1" w14:textId="14FC6694" w:rsidR="000B4F8E" w:rsidRPr="002E2534" w:rsidRDefault="00781E18" w:rsidP="005144EB">
          <w:pPr>
            <w:pStyle w:val="Default"/>
            <w:jc w:val="center"/>
            <w:rPr>
              <w:b/>
              <w:bCs/>
              <w:sz w:val="20"/>
              <w:szCs w:val="20"/>
            </w:rPr>
          </w:pPr>
          <w:r>
            <w:rPr>
              <w:b/>
              <w:bCs/>
              <w:sz w:val="20"/>
              <w:szCs w:val="20"/>
            </w:rPr>
            <w:t>Dec</w:t>
          </w:r>
          <w:r w:rsidR="000B4F8E">
            <w:rPr>
              <w:b/>
              <w:bCs/>
              <w:sz w:val="20"/>
              <w:szCs w:val="20"/>
            </w:rPr>
            <w:t>ember 201</w:t>
          </w:r>
          <w:r>
            <w:rPr>
              <w:b/>
              <w:bCs/>
              <w:sz w:val="20"/>
              <w:szCs w:val="20"/>
            </w:rPr>
            <w:t>3</w:t>
          </w:r>
          <w:r w:rsidR="000B4F8E">
            <w:rPr>
              <w:b/>
              <w:bCs/>
              <w:sz w:val="20"/>
              <w:szCs w:val="20"/>
            </w:rPr>
            <w:t xml:space="preserve"> – Version 1.</w:t>
          </w:r>
          <w:r>
            <w:rPr>
              <w:b/>
              <w:bCs/>
              <w:sz w:val="20"/>
              <w:szCs w:val="20"/>
            </w:rPr>
            <w:t>1</w:t>
          </w:r>
        </w:p>
      </w:tc>
    </w:tr>
    <w:tr w:rsidR="00781E18" w:rsidRPr="000229A7" w14:paraId="1B755BA4" w14:textId="77777777" w:rsidTr="00BC7F73">
      <w:trPr>
        <w:trHeight w:val="275"/>
      </w:trPr>
      <w:tc>
        <w:tcPr>
          <w:tcW w:w="2752" w:type="dxa"/>
          <w:tcBorders>
            <w:left w:val="double" w:sz="4" w:space="0" w:color="000000"/>
            <w:bottom w:val="single" w:sz="4" w:space="0" w:color="auto"/>
            <w:right w:val="single" w:sz="4" w:space="0" w:color="000000"/>
          </w:tcBorders>
        </w:tcPr>
        <w:p w14:paraId="6537CA60" w14:textId="77777777" w:rsidR="00781E18" w:rsidRPr="000229A7" w:rsidRDefault="00781E18" w:rsidP="005144EB">
          <w:pPr>
            <w:pStyle w:val="Default"/>
            <w:rPr>
              <w:color w:val="auto"/>
            </w:rPr>
          </w:pPr>
        </w:p>
      </w:tc>
      <w:tc>
        <w:tcPr>
          <w:tcW w:w="3203" w:type="dxa"/>
          <w:tcBorders>
            <w:left w:val="single" w:sz="4" w:space="0" w:color="000000"/>
            <w:bottom w:val="single" w:sz="4" w:space="0" w:color="auto"/>
            <w:right w:val="single" w:sz="4" w:space="0" w:color="000000"/>
          </w:tcBorders>
          <w:vAlign w:val="center"/>
        </w:tcPr>
        <w:p w14:paraId="285BA6E2" w14:textId="77777777" w:rsidR="00781E18" w:rsidRPr="000229A7" w:rsidRDefault="00781E18" w:rsidP="005144EB">
          <w:pPr>
            <w:pStyle w:val="Default"/>
            <w:rPr>
              <w:color w:val="auto"/>
            </w:rPr>
          </w:pPr>
        </w:p>
      </w:tc>
      <w:tc>
        <w:tcPr>
          <w:tcW w:w="3405" w:type="dxa"/>
          <w:tcBorders>
            <w:top w:val="single" w:sz="4" w:space="0" w:color="000000"/>
            <w:left w:val="single" w:sz="4" w:space="0" w:color="000000"/>
            <w:bottom w:val="single" w:sz="4" w:space="0" w:color="auto"/>
            <w:right w:val="double" w:sz="4" w:space="0" w:color="000000"/>
          </w:tcBorders>
          <w:vAlign w:val="center"/>
        </w:tcPr>
        <w:p w14:paraId="5F1DF60E" w14:textId="2AA1A3A9" w:rsidR="00781E18" w:rsidRDefault="00781E18" w:rsidP="008C6816">
          <w:pPr>
            <w:pStyle w:val="Default"/>
            <w:jc w:val="center"/>
            <w:rPr>
              <w:b/>
              <w:bCs/>
              <w:sz w:val="20"/>
              <w:szCs w:val="20"/>
            </w:rPr>
          </w:pPr>
          <w:r>
            <w:rPr>
              <w:b/>
              <w:bCs/>
              <w:sz w:val="20"/>
              <w:szCs w:val="20"/>
            </w:rPr>
            <w:t>Last Reviewed: December 201</w:t>
          </w:r>
          <w:r w:rsidR="008C6816">
            <w:rPr>
              <w:b/>
              <w:bCs/>
              <w:sz w:val="20"/>
              <w:szCs w:val="20"/>
            </w:rPr>
            <w:t>8</w:t>
          </w:r>
        </w:p>
      </w:tc>
    </w:tr>
  </w:tbl>
  <w:p w14:paraId="2C47BBA3" w14:textId="77777777" w:rsidR="000B4F8E" w:rsidRDefault="000B4F8E" w:rsidP="00E17EA0">
    <w:pPr>
      <w:tabs>
        <w:tab w:val="left" w:pos="820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E491B" w14:textId="77777777" w:rsidR="00BC7F73" w:rsidRDefault="00BC7F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7BBA4" w14:textId="77777777" w:rsidR="000B4F8E" w:rsidRPr="00036E31" w:rsidRDefault="000B4F8E" w:rsidP="00036E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133"/>
    <w:multiLevelType w:val="hybridMultilevel"/>
    <w:tmpl w:val="20ACDD0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4604B3"/>
    <w:multiLevelType w:val="hybridMultilevel"/>
    <w:tmpl w:val="D1E02C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63EF9"/>
    <w:multiLevelType w:val="multilevel"/>
    <w:tmpl w:val="3C18E560"/>
    <w:lvl w:ilvl="0">
      <w:start w:val="14"/>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CC51969"/>
    <w:multiLevelType w:val="hybridMultilevel"/>
    <w:tmpl w:val="2220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45EF5"/>
    <w:multiLevelType w:val="hybridMultilevel"/>
    <w:tmpl w:val="3FFE4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F730F7"/>
    <w:multiLevelType w:val="multilevel"/>
    <w:tmpl w:val="766C72C4"/>
    <w:lvl w:ilvl="0">
      <w:start w:val="18"/>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22134D7"/>
    <w:multiLevelType w:val="hybridMultilevel"/>
    <w:tmpl w:val="ABE01E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385ACA"/>
    <w:multiLevelType w:val="multilevel"/>
    <w:tmpl w:val="85D0E80E"/>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47B723A"/>
    <w:multiLevelType w:val="multilevel"/>
    <w:tmpl w:val="802EE1DA"/>
    <w:lvl w:ilvl="0">
      <w:start w:val="1"/>
      <w:numFmt w:val="decimal"/>
      <w:pStyle w:val="HeadingLevel1"/>
      <w:lvlText w:val="(%1)"/>
      <w:lvlJc w:val="left"/>
      <w:pPr>
        <w:tabs>
          <w:tab w:val="num" w:pos="547"/>
        </w:tabs>
        <w:ind w:left="547" w:hanging="547"/>
      </w:pPr>
      <w:rPr>
        <w:rFonts w:cs="Times New Roman" w:hint="default"/>
      </w:rPr>
    </w:lvl>
    <w:lvl w:ilvl="1">
      <w:start w:val="1"/>
      <w:numFmt w:val="lowerLetter"/>
      <w:pStyle w:val="HeadingLevel2"/>
      <w:lvlText w:val="(%2)"/>
      <w:lvlJc w:val="left"/>
      <w:pPr>
        <w:tabs>
          <w:tab w:val="num" w:pos="1094"/>
        </w:tabs>
        <w:ind w:left="1094" w:hanging="547"/>
      </w:pPr>
      <w:rPr>
        <w:rFonts w:cs="Times New Roman" w:hint="default"/>
        <w:b/>
        <w: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5BF6422"/>
    <w:multiLevelType w:val="hybridMultilevel"/>
    <w:tmpl w:val="83B67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DF6D69"/>
    <w:multiLevelType w:val="hybridMultilevel"/>
    <w:tmpl w:val="94D63E86"/>
    <w:lvl w:ilvl="0" w:tplc="4A4CD8AC">
      <w:start w:val="1"/>
      <w:numFmt w:val="bullet"/>
      <w:lvlText w:val=""/>
      <w:lvlJc w:val="left"/>
      <w:pPr>
        <w:tabs>
          <w:tab w:val="num" w:pos="630"/>
        </w:tabs>
        <w:ind w:left="630" w:hanging="216"/>
      </w:pPr>
      <w:rPr>
        <w:rFonts w:ascii="Symbol" w:hAnsi="Symbol" w:hint="default"/>
        <w:color w:val="auto"/>
        <w:sz w:val="24"/>
      </w:rPr>
    </w:lvl>
    <w:lvl w:ilvl="1" w:tplc="D7FC6AB2">
      <w:start w:val="1"/>
      <w:numFmt w:val="bullet"/>
      <w:lvlText w:val=""/>
      <w:lvlJc w:val="left"/>
      <w:pPr>
        <w:tabs>
          <w:tab w:val="num" w:pos="1494"/>
        </w:tabs>
        <w:ind w:left="1494" w:hanging="360"/>
      </w:pPr>
      <w:rPr>
        <w:rFonts w:ascii="Wingdings" w:hAnsi="Wingdings" w:hint="default"/>
        <w:color w:val="auto"/>
        <w:sz w:val="18"/>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1">
    <w:nsid w:val="1D340E48"/>
    <w:multiLevelType w:val="hybridMultilevel"/>
    <w:tmpl w:val="2974C48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087105D"/>
    <w:multiLevelType w:val="hybridMultilevel"/>
    <w:tmpl w:val="E17CE0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F6E38"/>
    <w:multiLevelType w:val="hybridMultilevel"/>
    <w:tmpl w:val="6C685F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B52DC6"/>
    <w:multiLevelType w:val="hybridMultilevel"/>
    <w:tmpl w:val="8F868B56"/>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95620"/>
    <w:multiLevelType w:val="hybridMultilevel"/>
    <w:tmpl w:val="A38CC3FE"/>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6985A13"/>
    <w:multiLevelType w:val="multilevel"/>
    <w:tmpl w:val="CCFEE73E"/>
    <w:lvl w:ilvl="0">
      <w:start w:val="18"/>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26BA6C6B"/>
    <w:multiLevelType w:val="multilevel"/>
    <w:tmpl w:val="08669D96"/>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1800DF"/>
    <w:multiLevelType w:val="hybridMultilevel"/>
    <w:tmpl w:val="B434AF6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C005FD"/>
    <w:multiLevelType w:val="hybridMultilevel"/>
    <w:tmpl w:val="D8328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617340"/>
    <w:multiLevelType w:val="hybridMultilevel"/>
    <w:tmpl w:val="89D636D8"/>
    <w:lvl w:ilvl="0" w:tplc="7C30ABFA">
      <w:start w:val="1"/>
      <w:numFmt w:val="bullet"/>
      <w:pStyle w:val="Round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5852A310">
      <w:start w:val="3"/>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6B6E27"/>
    <w:multiLevelType w:val="hybridMultilevel"/>
    <w:tmpl w:val="21D0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D63858"/>
    <w:multiLevelType w:val="multilevel"/>
    <w:tmpl w:val="9A6A5E82"/>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2E715D81"/>
    <w:multiLevelType w:val="hybridMultilevel"/>
    <w:tmpl w:val="CFC6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C74BE6"/>
    <w:multiLevelType w:val="hybridMultilevel"/>
    <w:tmpl w:val="625E1B72"/>
    <w:lvl w:ilvl="0" w:tplc="E9C26490">
      <w:start w:val="1"/>
      <w:numFmt w:val="bullet"/>
      <w:pStyle w:val="Square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D741B2"/>
    <w:multiLevelType w:val="multilevel"/>
    <w:tmpl w:val="239C6ED2"/>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36B90E7C"/>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8794907"/>
    <w:multiLevelType w:val="hybridMultilevel"/>
    <w:tmpl w:val="AD3C47C8"/>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963C4D"/>
    <w:multiLevelType w:val="multilevel"/>
    <w:tmpl w:val="1BA62F0C"/>
    <w:lvl w:ilvl="0">
      <w:start w:val="19"/>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3BEE5597"/>
    <w:multiLevelType w:val="hybridMultilevel"/>
    <w:tmpl w:val="A530D2D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EF4B07"/>
    <w:multiLevelType w:val="hybridMultilevel"/>
    <w:tmpl w:val="3968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FB40DA0"/>
    <w:multiLevelType w:val="hybridMultilevel"/>
    <w:tmpl w:val="AC5C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ED3D54"/>
    <w:multiLevelType w:val="hybridMultilevel"/>
    <w:tmpl w:val="E49A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0B18D0"/>
    <w:multiLevelType w:val="hybridMultilevel"/>
    <w:tmpl w:val="FE886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602D7D"/>
    <w:multiLevelType w:val="hybridMultilevel"/>
    <w:tmpl w:val="B6683BC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FE32F2"/>
    <w:multiLevelType w:val="hybridMultilevel"/>
    <w:tmpl w:val="5F524086"/>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6F2634"/>
    <w:multiLevelType w:val="multilevel"/>
    <w:tmpl w:val="C898F974"/>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03E1811"/>
    <w:multiLevelType w:val="multilevel"/>
    <w:tmpl w:val="F9F27836"/>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start w:val="1"/>
      <w:numFmt w:val="decimal"/>
      <w:lvlText w:val="%1.5.2"/>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32F6757"/>
    <w:multiLevelType w:val="hybridMultilevel"/>
    <w:tmpl w:val="814CEA16"/>
    <w:lvl w:ilvl="0" w:tplc="04090005">
      <w:start w:val="1"/>
      <w:numFmt w:val="bullet"/>
      <w:lvlText w:val=""/>
      <w:lvlJc w:val="left"/>
      <w:pPr>
        <w:tabs>
          <w:tab w:val="num" w:pos="900"/>
        </w:tabs>
        <w:ind w:left="90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291227"/>
    <w:multiLevelType w:val="multilevel"/>
    <w:tmpl w:val="292AB534"/>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numFmt w:val="decimal"/>
      <w:lvlText w:val="%1.5.1"/>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AA10CD0"/>
    <w:multiLevelType w:val="hybridMultilevel"/>
    <w:tmpl w:val="6D108CFE"/>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AF10848"/>
    <w:multiLevelType w:val="multilevel"/>
    <w:tmpl w:val="CDA839EE"/>
    <w:lvl w:ilvl="0">
      <w:start w:val="1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5C7E0622"/>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5D2948E8"/>
    <w:multiLevelType w:val="hybridMultilevel"/>
    <w:tmpl w:val="C79C4668"/>
    <w:lvl w:ilvl="0" w:tplc="94142C3E">
      <w:start w:val="1"/>
      <w:numFmt w:val="bullet"/>
      <w:pStyle w:val="Table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DB6F13"/>
    <w:multiLevelType w:val="multilevel"/>
    <w:tmpl w:val="DEF6435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5ECD34FE"/>
    <w:multiLevelType w:val="hybridMultilevel"/>
    <w:tmpl w:val="68BA223C"/>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CD361C"/>
    <w:multiLevelType w:val="multilevel"/>
    <w:tmpl w:val="06A2F7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62146419"/>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6A712C58"/>
    <w:multiLevelType w:val="hybridMultilevel"/>
    <w:tmpl w:val="F4BC617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9">
    <w:nsid w:val="6D354ADC"/>
    <w:multiLevelType w:val="hybridMultilevel"/>
    <w:tmpl w:val="426C74B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10F0A24"/>
    <w:multiLevelType w:val="multilevel"/>
    <w:tmpl w:val="6C3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1A75932"/>
    <w:multiLevelType w:val="hybridMultilevel"/>
    <w:tmpl w:val="5DB8D3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2">
    <w:nsid w:val="725440E5"/>
    <w:multiLevelType w:val="multilevel"/>
    <w:tmpl w:val="A7841A22"/>
    <w:lvl w:ilvl="0">
      <w:start w:val="19"/>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nsid w:val="75116485"/>
    <w:multiLevelType w:val="hybridMultilevel"/>
    <w:tmpl w:val="FA58B2DE"/>
    <w:lvl w:ilvl="0" w:tplc="005C1A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812577"/>
    <w:multiLevelType w:val="hybridMultilevel"/>
    <w:tmpl w:val="D9BC8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901666C"/>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79352981"/>
    <w:multiLevelType w:val="hybridMultilevel"/>
    <w:tmpl w:val="DC90F9DE"/>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EF72B24"/>
    <w:multiLevelType w:val="hybridMultilevel"/>
    <w:tmpl w:val="8F647E7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33"/>
  </w:num>
  <w:num w:numId="4">
    <w:abstractNumId w:val="53"/>
  </w:num>
  <w:num w:numId="5">
    <w:abstractNumId w:val="24"/>
  </w:num>
  <w:num w:numId="6">
    <w:abstractNumId w:val="45"/>
  </w:num>
  <w:num w:numId="7">
    <w:abstractNumId w:val="14"/>
  </w:num>
  <w:num w:numId="8">
    <w:abstractNumId w:val="34"/>
  </w:num>
  <w:num w:numId="9">
    <w:abstractNumId w:val="56"/>
  </w:num>
  <w:num w:numId="10">
    <w:abstractNumId w:val="57"/>
  </w:num>
  <w:num w:numId="11">
    <w:abstractNumId w:val="8"/>
  </w:num>
  <w:num w:numId="12">
    <w:abstractNumId w:val="8"/>
    <w:lvlOverride w:ilvl="0">
      <w:startOverride w:val="1"/>
    </w:lvlOverride>
    <w:lvlOverride w:ilvl="1">
      <w:startOverride w:val="2"/>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num>
  <w:num w:numId="14">
    <w:abstractNumId w:val="19"/>
  </w:num>
  <w:num w:numId="15">
    <w:abstractNumId w:val="25"/>
  </w:num>
  <w:num w:numId="16">
    <w:abstractNumId w:val="30"/>
  </w:num>
  <w:num w:numId="17">
    <w:abstractNumId w:val="23"/>
  </w:num>
  <w:num w:numId="18">
    <w:abstractNumId w:val="2"/>
  </w:num>
  <w:num w:numId="19">
    <w:abstractNumId w:val="1"/>
  </w:num>
  <w:num w:numId="20">
    <w:abstractNumId w:val="9"/>
  </w:num>
  <w:num w:numId="21">
    <w:abstractNumId w:val="12"/>
  </w:num>
  <w:num w:numId="22">
    <w:abstractNumId w:val="36"/>
  </w:num>
  <w:num w:numId="23">
    <w:abstractNumId w:val="17"/>
  </w:num>
  <w:num w:numId="24">
    <w:abstractNumId w:val="7"/>
  </w:num>
  <w:num w:numId="25">
    <w:abstractNumId w:val="4"/>
  </w:num>
  <w:num w:numId="26">
    <w:abstractNumId w:val="13"/>
  </w:num>
  <w:num w:numId="27">
    <w:abstractNumId w:val="54"/>
  </w:num>
  <w:num w:numId="28">
    <w:abstractNumId w:val="47"/>
  </w:num>
  <w:num w:numId="29">
    <w:abstractNumId w:val="48"/>
  </w:num>
  <w:num w:numId="30">
    <w:abstractNumId w:val="41"/>
  </w:num>
  <w:num w:numId="31">
    <w:abstractNumId w:val="28"/>
  </w:num>
  <w:num w:numId="32">
    <w:abstractNumId w:val="52"/>
  </w:num>
  <w:num w:numId="33">
    <w:abstractNumId w:val="38"/>
  </w:num>
  <w:num w:numId="34">
    <w:abstractNumId w:val="22"/>
  </w:num>
  <w:num w:numId="35">
    <w:abstractNumId w:val="10"/>
  </w:num>
  <w:num w:numId="36">
    <w:abstractNumId w:val="18"/>
  </w:num>
  <w:num w:numId="37">
    <w:abstractNumId w:val="50"/>
  </w:num>
  <w:num w:numId="38">
    <w:abstractNumId w:val="27"/>
  </w:num>
  <w:num w:numId="39">
    <w:abstractNumId w:val="46"/>
  </w:num>
  <w:num w:numId="40">
    <w:abstractNumId w:val="15"/>
  </w:num>
  <w:num w:numId="41">
    <w:abstractNumId w:val="37"/>
  </w:num>
  <w:num w:numId="42">
    <w:abstractNumId w:val="35"/>
  </w:num>
  <w:num w:numId="43">
    <w:abstractNumId w:val="49"/>
  </w:num>
  <w:num w:numId="44">
    <w:abstractNumId w:val="39"/>
  </w:num>
  <w:num w:numId="45">
    <w:abstractNumId w:val="5"/>
  </w:num>
  <w:num w:numId="46">
    <w:abstractNumId w:val="16"/>
  </w:num>
  <w:num w:numId="47">
    <w:abstractNumId w:val="29"/>
  </w:num>
  <w:num w:numId="48">
    <w:abstractNumId w:val="3"/>
  </w:num>
  <w:num w:numId="49">
    <w:abstractNumId w:val="31"/>
  </w:num>
  <w:num w:numId="50">
    <w:abstractNumId w:val="0"/>
  </w:num>
  <w:num w:numId="51">
    <w:abstractNumId w:val="40"/>
  </w:num>
  <w:num w:numId="52">
    <w:abstractNumId w:val="51"/>
  </w:num>
  <w:num w:numId="53">
    <w:abstractNumId w:val="21"/>
  </w:num>
  <w:num w:numId="54">
    <w:abstractNumId w:val="32"/>
  </w:num>
  <w:num w:numId="55">
    <w:abstractNumId w:val="44"/>
  </w:num>
  <w:num w:numId="56">
    <w:abstractNumId w:val="26"/>
  </w:num>
  <w:num w:numId="57">
    <w:abstractNumId w:val="42"/>
  </w:num>
  <w:num w:numId="58">
    <w:abstractNumId w:val="55"/>
  </w:num>
  <w:num w:numId="59">
    <w:abstractNumId w:val="11"/>
  </w:num>
  <w:num w:numId="60">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43"/>
    <w:rsid w:val="00003C6D"/>
    <w:rsid w:val="00005220"/>
    <w:rsid w:val="00005E1B"/>
    <w:rsid w:val="0000616D"/>
    <w:rsid w:val="0000619F"/>
    <w:rsid w:val="00010DFD"/>
    <w:rsid w:val="00011AB1"/>
    <w:rsid w:val="000128ED"/>
    <w:rsid w:val="00017A25"/>
    <w:rsid w:val="0002029F"/>
    <w:rsid w:val="00020706"/>
    <w:rsid w:val="0002135B"/>
    <w:rsid w:val="000221AB"/>
    <w:rsid w:val="000229A7"/>
    <w:rsid w:val="00023339"/>
    <w:rsid w:val="00023764"/>
    <w:rsid w:val="00024E95"/>
    <w:rsid w:val="00025958"/>
    <w:rsid w:val="0002617D"/>
    <w:rsid w:val="0002687F"/>
    <w:rsid w:val="00026935"/>
    <w:rsid w:val="00030BF1"/>
    <w:rsid w:val="00031856"/>
    <w:rsid w:val="000323B3"/>
    <w:rsid w:val="00032551"/>
    <w:rsid w:val="00032D23"/>
    <w:rsid w:val="00034EBF"/>
    <w:rsid w:val="00036E31"/>
    <w:rsid w:val="00040596"/>
    <w:rsid w:val="00041A3B"/>
    <w:rsid w:val="00042390"/>
    <w:rsid w:val="00043615"/>
    <w:rsid w:val="00046809"/>
    <w:rsid w:val="0004785B"/>
    <w:rsid w:val="00050170"/>
    <w:rsid w:val="00056F8D"/>
    <w:rsid w:val="000609A9"/>
    <w:rsid w:val="00063F9E"/>
    <w:rsid w:val="000651EF"/>
    <w:rsid w:val="000652AF"/>
    <w:rsid w:val="00066F68"/>
    <w:rsid w:val="00070CCA"/>
    <w:rsid w:val="000750CC"/>
    <w:rsid w:val="00075B4F"/>
    <w:rsid w:val="00076A0E"/>
    <w:rsid w:val="00081B1A"/>
    <w:rsid w:val="00084526"/>
    <w:rsid w:val="0009259E"/>
    <w:rsid w:val="000940DE"/>
    <w:rsid w:val="00095402"/>
    <w:rsid w:val="00095518"/>
    <w:rsid w:val="00095598"/>
    <w:rsid w:val="000959F7"/>
    <w:rsid w:val="00096728"/>
    <w:rsid w:val="000A0488"/>
    <w:rsid w:val="000A16A4"/>
    <w:rsid w:val="000A17A0"/>
    <w:rsid w:val="000A7527"/>
    <w:rsid w:val="000A757E"/>
    <w:rsid w:val="000B11AA"/>
    <w:rsid w:val="000B2FA4"/>
    <w:rsid w:val="000B31EF"/>
    <w:rsid w:val="000B404D"/>
    <w:rsid w:val="000B4F8E"/>
    <w:rsid w:val="000B53DC"/>
    <w:rsid w:val="000B5DDD"/>
    <w:rsid w:val="000B5EB7"/>
    <w:rsid w:val="000C09EA"/>
    <w:rsid w:val="000C0C56"/>
    <w:rsid w:val="000C2E74"/>
    <w:rsid w:val="000C3A21"/>
    <w:rsid w:val="000C7A19"/>
    <w:rsid w:val="000D04A9"/>
    <w:rsid w:val="000D065F"/>
    <w:rsid w:val="000D19F2"/>
    <w:rsid w:val="000D35A0"/>
    <w:rsid w:val="000D5DB9"/>
    <w:rsid w:val="000D7056"/>
    <w:rsid w:val="000E1B73"/>
    <w:rsid w:val="000E48AB"/>
    <w:rsid w:val="000E48BE"/>
    <w:rsid w:val="000E491F"/>
    <w:rsid w:val="000E505D"/>
    <w:rsid w:val="000E579D"/>
    <w:rsid w:val="000E58D1"/>
    <w:rsid w:val="000F07B6"/>
    <w:rsid w:val="000F0B3E"/>
    <w:rsid w:val="000F22A7"/>
    <w:rsid w:val="000F28A2"/>
    <w:rsid w:val="000F436D"/>
    <w:rsid w:val="000F4AC6"/>
    <w:rsid w:val="000F51B9"/>
    <w:rsid w:val="001026F4"/>
    <w:rsid w:val="00102FD5"/>
    <w:rsid w:val="00111ABF"/>
    <w:rsid w:val="00114264"/>
    <w:rsid w:val="0011544E"/>
    <w:rsid w:val="0011564E"/>
    <w:rsid w:val="00116277"/>
    <w:rsid w:val="001200EF"/>
    <w:rsid w:val="00121A6B"/>
    <w:rsid w:val="0012204B"/>
    <w:rsid w:val="00125826"/>
    <w:rsid w:val="00126075"/>
    <w:rsid w:val="00126BF0"/>
    <w:rsid w:val="00127220"/>
    <w:rsid w:val="001273CF"/>
    <w:rsid w:val="001303CF"/>
    <w:rsid w:val="00130EF0"/>
    <w:rsid w:val="001313B2"/>
    <w:rsid w:val="00131C2A"/>
    <w:rsid w:val="00131D3F"/>
    <w:rsid w:val="001338CD"/>
    <w:rsid w:val="00134187"/>
    <w:rsid w:val="00134DAF"/>
    <w:rsid w:val="00135B1C"/>
    <w:rsid w:val="00137CD7"/>
    <w:rsid w:val="001403BF"/>
    <w:rsid w:val="0014274A"/>
    <w:rsid w:val="001435F8"/>
    <w:rsid w:val="001509FF"/>
    <w:rsid w:val="00153CC9"/>
    <w:rsid w:val="00154EC1"/>
    <w:rsid w:val="001578EF"/>
    <w:rsid w:val="0015791C"/>
    <w:rsid w:val="001615AA"/>
    <w:rsid w:val="00162A50"/>
    <w:rsid w:val="00165456"/>
    <w:rsid w:val="00165832"/>
    <w:rsid w:val="00165DCF"/>
    <w:rsid w:val="00166A8D"/>
    <w:rsid w:val="001719E4"/>
    <w:rsid w:val="001732C8"/>
    <w:rsid w:val="0018212A"/>
    <w:rsid w:val="001845E1"/>
    <w:rsid w:val="00184AEA"/>
    <w:rsid w:val="00184D3A"/>
    <w:rsid w:val="00185F1E"/>
    <w:rsid w:val="00186C94"/>
    <w:rsid w:val="00190698"/>
    <w:rsid w:val="0019227B"/>
    <w:rsid w:val="00192E0C"/>
    <w:rsid w:val="001A1115"/>
    <w:rsid w:val="001A1DDD"/>
    <w:rsid w:val="001A2CE1"/>
    <w:rsid w:val="001A4A33"/>
    <w:rsid w:val="001A6E4B"/>
    <w:rsid w:val="001B2146"/>
    <w:rsid w:val="001B39E8"/>
    <w:rsid w:val="001B472F"/>
    <w:rsid w:val="001B4A3C"/>
    <w:rsid w:val="001C0CC6"/>
    <w:rsid w:val="001C0FBD"/>
    <w:rsid w:val="001C17AC"/>
    <w:rsid w:val="001C2544"/>
    <w:rsid w:val="001C3E97"/>
    <w:rsid w:val="001C4321"/>
    <w:rsid w:val="001C63EE"/>
    <w:rsid w:val="001D3540"/>
    <w:rsid w:val="001D64F5"/>
    <w:rsid w:val="001D64F7"/>
    <w:rsid w:val="001E0ACE"/>
    <w:rsid w:val="001E0C93"/>
    <w:rsid w:val="001E715D"/>
    <w:rsid w:val="001F0FC4"/>
    <w:rsid w:val="001F279C"/>
    <w:rsid w:val="001F45D6"/>
    <w:rsid w:val="00200FB2"/>
    <w:rsid w:val="00203263"/>
    <w:rsid w:val="002042DB"/>
    <w:rsid w:val="0020531A"/>
    <w:rsid w:val="00206899"/>
    <w:rsid w:val="00206DCC"/>
    <w:rsid w:val="0021506F"/>
    <w:rsid w:val="002154FC"/>
    <w:rsid w:val="00215B72"/>
    <w:rsid w:val="00217C0B"/>
    <w:rsid w:val="00217E2B"/>
    <w:rsid w:val="00220359"/>
    <w:rsid w:val="00222605"/>
    <w:rsid w:val="00230572"/>
    <w:rsid w:val="00231152"/>
    <w:rsid w:val="00233263"/>
    <w:rsid w:val="00233C13"/>
    <w:rsid w:val="00234930"/>
    <w:rsid w:val="00235D2F"/>
    <w:rsid w:val="0024068E"/>
    <w:rsid w:val="00240E1C"/>
    <w:rsid w:val="00241797"/>
    <w:rsid w:val="00244560"/>
    <w:rsid w:val="00244720"/>
    <w:rsid w:val="00244833"/>
    <w:rsid w:val="00245F0F"/>
    <w:rsid w:val="00247172"/>
    <w:rsid w:val="00247360"/>
    <w:rsid w:val="00247926"/>
    <w:rsid w:val="002505DA"/>
    <w:rsid w:val="00252493"/>
    <w:rsid w:val="00253115"/>
    <w:rsid w:val="0025321D"/>
    <w:rsid w:val="002542E7"/>
    <w:rsid w:val="00255469"/>
    <w:rsid w:val="002631F7"/>
    <w:rsid w:val="0027349C"/>
    <w:rsid w:val="00274D93"/>
    <w:rsid w:val="00284C51"/>
    <w:rsid w:val="0028799E"/>
    <w:rsid w:val="00290136"/>
    <w:rsid w:val="00291FE2"/>
    <w:rsid w:val="00293B4A"/>
    <w:rsid w:val="002968D7"/>
    <w:rsid w:val="0029744F"/>
    <w:rsid w:val="002974B7"/>
    <w:rsid w:val="002A067C"/>
    <w:rsid w:val="002A2093"/>
    <w:rsid w:val="002A4B27"/>
    <w:rsid w:val="002A7B4C"/>
    <w:rsid w:val="002B366D"/>
    <w:rsid w:val="002B3E42"/>
    <w:rsid w:val="002B5FB8"/>
    <w:rsid w:val="002B6505"/>
    <w:rsid w:val="002B7969"/>
    <w:rsid w:val="002B7A0D"/>
    <w:rsid w:val="002B7E1A"/>
    <w:rsid w:val="002C03B1"/>
    <w:rsid w:val="002C18E1"/>
    <w:rsid w:val="002C2CF2"/>
    <w:rsid w:val="002C5289"/>
    <w:rsid w:val="002C7FB6"/>
    <w:rsid w:val="002D177E"/>
    <w:rsid w:val="002D21FB"/>
    <w:rsid w:val="002D4E57"/>
    <w:rsid w:val="002D6C5B"/>
    <w:rsid w:val="002D6D93"/>
    <w:rsid w:val="002E0AB4"/>
    <w:rsid w:val="002E1CA3"/>
    <w:rsid w:val="002E216A"/>
    <w:rsid w:val="002E2534"/>
    <w:rsid w:val="002E45C2"/>
    <w:rsid w:val="002F146C"/>
    <w:rsid w:val="002F1AE5"/>
    <w:rsid w:val="002F3329"/>
    <w:rsid w:val="002F3690"/>
    <w:rsid w:val="002F4ACE"/>
    <w:rsid w:val="002F5F73"/>
    <w:rsid w:val="002F6760"/>
    <w:rsid w:val="002F6A7D"/>
    <w:rsid w:val="003019DE"/>
    <w:rsid w:val="0030476E"/>
    <w:rsid w:val="003055EB"/>
    <w:rsid w:val="00305C3B"/>
    <w:rsid w:val="003079AF"/>
    <w:rsid w:val="003139AF"/>
    <w:rsid w:val="00314596"/>
    <w:rsid w:val="00315735"/>
    <w:rsid w:val="0032151B"/>
    <w:rsid w:val="00323858"/>
    <w:rsid w:val="00325BEF"/>
    <w:rsid w:val="003270E3"/>
    <w:rsid w:val="00333245"/>
    <w:rsid w:val="003350E7"/>
    <w:rsid w:val="00335C92"/>
    <w:rsid w:val="0034254E"/>
    <w:rsid w:val="0034385E"/>
    <w:rsid w:val="00343AF3"/>
    <w:rsid w:val="00344902"/>
    <w:rsid w:val="0034699E"/>
    <w:rsid w:val="00346F59"/>
    <w:rsid w:val="003473DB"/>
    <w:rsid w:val="00347E67"/>
    <w:rsid w:val="00350E67"/>
    <w:rsid w:val="00355B3A"/>
    <w:rsid w:val="003608F9"/>
    <w:rsid w:val="00365F83"/>
    <w:rsid w:val="00373ECB"/>
    <w:rsid w:val="0037737D"/>
    <w:rsid w:val="00381400"/>
    <w:rsid w:val="003836AA"/>
    <w:rsid w:val="00385AB9"/>
    <w:rsid w:val="00386E4A"/>
    <w:rsid w:val="00387FBC"/>
    <w:rsid w:val="00391524"/>
    <w:rsid w:val="003925EF"/>
    <w:rsid w:val="0039339F"/>
    <w:rsid w:val="00394FF0"/>
    <w:rsid w:val="00396741"/>
    <w:rsid w:val="00397389"/>
    <w:rsid w:val="003A084D"/>
    <w:rsid w:val="003A0951"/>
    <w:rsid w:val="003A252A"/>
    <w:rsid w:val="003A27D8"/>
    <w:rsid w:val="003A4B86"/>
    <w:rsid w:val="003A774B"/>
    <w:rsid w:val="003A7B2F"/>
    <w:rsid w:val="003B22D5"/>
    <w:rsid w:val="003B6F48"/>
    <w:rsid w:val="003C1ECB"/>
    <w:rsid w:val="003C3BD8"/>
    <w:rsid w:val="003C43AD"/>
    <w:rsid w:val="003C5566"/>
    <w:rsid w:val="003D02A4"/>
    <w:rsid w:val="003D43B8"/>
    <w:rsid w:val="003D633F"/>
    <w:rsid w:val="003D6569"/>
    <w:rsid w:val="003E0B8D"/>
    <w:rsid w:val="003E162C"/>
    <w:rsid w:val="003E2295"/>
    <w:rsid w:val="003E3397"/>
    <w:rsid w:val="003E4330"/>
    <w:rsid w:val="003E67B3"/>
    <w:rsid w:val="003E709D"/>
    <w:rsid w:val="003F19E2"/>
    <w:rsid w:val="00400AA2"/>
    <w:rsid w:val="00401DA6"/>
    <w:rsid w:val="00402848"/>
    <w:rsid w:val="0040344B"/>
    <w:rsid w:val="0040574F"/>
    <w:rsid w:val="004107A7"/>
    <w:rsid w:val="00414A5D"/>
    <w:rsid w:val="00414D2B"/>
    <w:rsid w:val="00414E57"/>
    <w:rsid w:val="0041695D"/>
    <w:rsid w:val="00417A44"/>
    <w:rsid w:val="00421298"/>
    <w:rsid w:val="00422DDE"/>
    <w:rsid w:val="00425556"/>
    <w:rsid w:val="0043664C"/>
    <w:rsid w:val="0043731F"/>
    <w:rsid w:val="004454EE"/>
    <w:rsid w:val="00453BDB"/>
    <w:rsid w:val="00457FD5"/>
    <w:rsid w:val="004630ED"/>
    <w:rsid w:val="00467840"/>
    <w:rsid w:val="00467C74"/>
    <w:rsid w:val="00470164"/>
    <w:rsid w:val="00470E24"/>
    <w:rsid w:val="00473535"/>
    <w:rsid w:val="00473881"/>
    <w:rsid w:val="00481B69"/>
    <w:rsid w:val="004820D7"/>
    <w:rsid w:val="00482FBC"/>
    <w:rsid w:val="00485D8A"/>
    <w:rsid w:val="004876C9"/>
    <w:rsid w:val="00490D63"/>
    <w:rsid w:val="004912F4"/>
    <w:rsid w:val="0049630F"/>
    <w:rsid w:val="004A01B2"/>
    <w:rsid w:val="004A3158"/>
    <w:rsid w:val="004B1D30"/>
    <w:rsid w:val="004B23F3"/>
    <w:rsid w:val="004B676F"/>
    <w:rsid w:val="004C0DF5"/>
    <w:rsid w:val="004C1C58"/>
    <w:rsid w:val="004C23E2"/>
    <w:rsid w:val="004C38B5"/>
    <w:rsid w:val="004D0752"/>
    <w:rsid w:val="004D22CE"/>
    <w:rsid w:val="004D5B63"/>
    <w:rsid w:val="004D6BA4"/>
    <w:rsid w:val="004D6F0E"/>
    <w:rsid w:val="004D7A1B"/>
    <w:rsid w:val="004E00D4"/>
    <w:rsid w:val="004E01E8"/>
    <w:rsid w:val="004E0719"/>
    <w:rsid w:val="004E1A04"/>
    <w:rsid w:val="004E2A45"/>
    <w:rsid w:val="004E3B71"/>
    <w:rsid w:val="004E4609"/>
    <w:rsid w:val="004E7386"/>
    <w:rsid w:val="004E79E6"/>
    <w:rsid w:val="004F38E5"/>
    <w:rsid w:val="004F3907"/>
    <w:rsid w:val="004F4E44"/>
    <w:rsid w:val="004F4E5B"/>
    <w:rsid w:val="005030ED"/>
    <w:rsid w:val="0050526D"/>
    <w:rsid w:val="005057E7"/>
    <w:rsid w:val="00511469"/>
    <w:rsid w:val="005144EB"/>
    <w:rsid w:val="00514650"/>
    <w:rsid w:val="00516A7C"/>
    <w:rsid w:val="005205FC"/>
    <w:rsid w:val="00520E36"/>
    <w:rsid w:val="00522891"/>
    <w:rsid w:val="0052371A"/>
    <w:rsid w:val="00526438"/>
    <w:rsid w:val="005324F4"/>
    <w:rsid w:val="00535D52"/>
    <w:rsid w:val="0053703A"/>
    <w:rsid w:val="00540A57"/>
    <w:rsid w:val="00540CFD"/>
    <w:rsid w:val="00542068"/>
    <w:rsid w:val="00543BCA"/>
    <w:rsid w:val="00545235"/>
    <w:rsid w:val="00547AA6"/>
    <w:rsid w:val="00550424"/>
    <w:rsid w:val="00550C4A"/>
    <w:rsid w:val="00551200"/>
    <w:rsid w:val="00552BE4"/>
    <w:rsid w:val="00554155"/>
    <w:rsid w:val="005547E4"/>
    <w:rsid w:val="00557E17"/>
    <w:rsid w:val="0056094C"/>
    <w:rsid w:val="00561BA6"/>
    <w:rsid w:val="00563201"/>
    <w:rsid w:val="0056327C"/>
    <w:rsid w:val="00564648"/>
    <w:rsid w:val="0056492E"/>
    <w:rsid w:val="00564FF6"/>
    <w:rsid w:val="005663BF"/>
    <w:rsid w:val="00567111"/>
    <w:rsid w:val="00570C6E"/>
    <w:rsid w:val="00572280"/>
    <w:rsid w:val="00572ED0"/>
    <w:rsid w:val="00574391"/>
    <w:rsid w:val="0057680B"/>
    <w:rsid w:val="00582F1E"/>
    <w:rsid w:val="00583D78"/>
    <w:rsid w:val="00591449"/>
    <w:rsid w:val="005923C2"/>
    <w:rsid w:val="00595A1D"/>
    <w:rsid w:val="005A0C61"/>
    <w:rsid w:val="005A183A"/>
    <w:rsid w:val="005A76A6"/>
    <w:rsid w:val="005B11C7"/>
    <w:rsid w:val="005B3771"/>
    <w:rsid w:val="005B3CDB"/>
    <w:rsid w:val="005B4346"/>
    <w:rsid w:val="005B6C42"/>
    <w:rsid w:val="005B79EF"/>
    <w:rsid w:val="005C2E6C"/>
    <w:rsid w:val="005C5C12"/>
    <w:rsid w:val="005D11EF"/>
    <w:rsid w:val="005D2EF2"/>
    <w:rsid w:val="005D4B1C"/>
    <w:rsid w:val="005D6853"/>
    <w:rsid w:val="005E18FA"/>
    <w:rsid w:val="005E1C18"/>
    <w:rsid w:val="005E37B9"/>
    <w:rsid w:val="005E42F7"/>
    <w:rsid w:val="005E503E"/>
    <w:rsid w:val="005E6CEA"/>
    <w:rsid w:val="005F03D8"/>
    <w:rsid w:val="005F26A6"/>
    <w:rsid w:val="005F5EC4"/>
    <w:rsid w:val="005F60E7"/>
    <w:rsid w:val="005F7EFF"/>
    <w:rsid w:val="00607C53"/>
    <w:rsid w:val="00610D92"/>
    <w:rsid w:val="00611CFA"/>
    <w:rsid w:val="00612200"/>
    <w:rsid w:val="00614BC8"/>
    <w:rsid w:val="006150FE"/>
    <w:rsid w:val="006155CA"/>
    <w:rsid w:val="00615B8D"/>
    <w:rsid w:val="00620A9A"/>
    <w:rsid w:val="0062563C"/>
    <w:rsid w:val="0063340F"/>
    <w:rsid w:val="006337AF"/>
    <w:rsid w:val="006478B3"/>
    <w:rsid w:val="006515D0"/>
    <w:rsid w:val="006517F1"/>
    <w:rsid w:val="006518E0"/>
    <w:rsid w:val="006524A7"/>
    <w:rsid w:val="0065251C"/>
    <w:rsid w:val="00652C36"/>
    <w:rsid w:val="0066117F"/>
    <w:rsid w:val="00661657"/>
    <w:rsid w:val="006621C2"/>
    <w:rsid w:val="00665014"/>
    <w:rsid w:val="0066716A"/>
    <w:rsid w:val="006702AE"/>
    <w:rsid w:val="0067426C"/>
    <w:rsid w:val="00674E5F"/>
    <w:rsid w:val="00675306"/>
    <w:rsid w:val="00675FF3"/>
    <w:rsid w:val="00680B00"/>
    <w:rsid w:val="0068155B"/>
    <w:rsid w:val="00682906"/>
    <w:rsid w:val="006845D3"/>
    <w:rsid w:val="00686B9A"/>
    <w:rsid w:val="00687814"/>
    <w:rsid w:val="00690635"/>
    <w:rsid w:val="006928F4"/>
    <w:rsid w:val="00695136"/>
    <w:rsid w:val="006951F8"/>
    <w:rsid w:val="00695B02"/>
    <w:rsid w:val="00697525"/>
    <w:rsid w:val="00697A98"/>
    <w:rsid w:val="006A0BB1"/>
    <w:rsid w:val="006A1B4C"/>
    <w:rsid w:val="006A3D63"/>
    <w:rsid w:val="006A7C5C"/>
    <w:rsid w:val="006B0195"/>
    <w:rsid w:val="006B25AC"/>
    <w:rsid w:val="006B5EF4"/>
    <w:rsid w:val="006C021D"/>
    <w:rsid w:val="006C4ED7"/>
    <w:rsid w:val="006C7DB5"/>
    <w:rsid w:val="006D11D0"/>
    <w:rsid w:val="006D5C49"/>
    <w:rsid w:val="006D6D4C"/>
    <w:rsid w:val="006E0E99"/>
    <w:rsid w:val="006E30B5"/>
    <w:rsid w:val="006E3FB2"/>
    <w:rsid w:val="006E4C58"/>
    <w:rsid w:val="006E7B46"/>
    <w:rsid w:val="006F28E3"/>
    <w:rsid w:val="006F3DBC"/>
    <w:rsid w:val="006F3E28"/>
    <w:rsid w:val="006F3EE7"/>
    <w:rsid w:val="006F428F"/>
    <w:rsid w:val="006F4DF9"/>
    <w:rsid w:val="006F5CCE"/>
    <w:rsid w:val="007022DE"/>
    <w:rsid w:val="00702ED7"/>
    <w:rsid w:val="00702F81"/>
    <w:rsid w:val="00704C1A"/>
    <w:rsid w:val="00706909"/>
    <w:rsid w:val="007079CE"/>
    <w:rsid w:val="00713723"/>
    <w:rsid w:val="00713820"/>
    <w:rsid w:val="0071608C"/>
    <w:rsid w:val="0071626E"/>
    <w:rsid w:val="007173A9"/>
    <w:rsid w:val="00717D37"/>
    <w:rsid w:val="0072077A"/>
    <w:rsid w:val="007224EA"/>
    <w:rsid w:val="00723E99"/>
    <w:rsid w:val="00724592"/>
    <w:rsid w:val="00724D83"/>
    <w:rsid w:val="00727D65"/>
    <w:rsid w:val="007315D5"/>
    <w:rsid w:val="0073288C"/>
    <w:rsid w:val="00734A65"/>
    <w:rsid w:val="007361D8"/>
    <w:rsid w:val="00737B71"/>
    <w:rsid w:val="00743CC5"/>
    <w:rsid w:val="00744A6C"/>
    <w:rsid w:val="007455C8"/>
    <w:rsid w:val="00746561"/>
    <w:rsid w:val="00746A60"/>
    <w:rsid w:val="007471E9"/>
    <w:rsid w:val="00747FDA"/>
    <w:rsid w:val="00751E75"/>
    <w:rsid w:val="00756B85"/>
    <w:rsid w:val="007570F7"/>
    <w:rsid w:val="00757349"/>
    <w:rsid w:val="00761B3B"/>
    <w:rsid w:val="007621AA"/>
    <w:rsid w:val="00764A43"/>
    <w:rsid w:val="007650DE"/>
    <w:rsid w:val="00766774"/>
    <w:rsid w:val="0076778B"/>
    <w:rsid w:val="00770376"/>
    <w:rsid w:val="00771496"/>
    <w:rsid w:val="007739D5"/>
    <w:rsid w:val="00773B92"/>
    <w:rsid w:val="00780E2B"/>
    <w:rsid w:val="00781E18"/>
    <w:rsid w:val="00783EF8"/>
    <w:rsid w:val="00783F79"/>
    <w:rsid w:val="00787896"/>
    <w:rsid w:val="00796E47"/>
    <w:rsid w:val="007A1DA3"/>
    <w:rsid w:val="007A33C2"/>
    <w:rsid w:val="007A3688"/>
    <w:rsid w:val="007A782A"/>
    <w:rsid w:val="007B137C"/>
    <w:rsid w:val="007B1905"/>
    <w:rsid w:val="007B1D63"/>
    <w:rsid w:val="007B2625"/>
    <w:rsid w:val="007B318F"/>
    <w:rsid w:val="007B4101"/>
    <w:rsid w:val="007B4D21"/>
    <w:rsid w:val="007B4F3E"/>
    <w:rsid w:val="007C1DD2"/>
    <w:rsid w:val="007D1344"/>
    <w:rsid w:val="007E0C96"/>
    <w:rsid w:val="007E63EA"/>
    <w:rsid w:val="007F124F"/>
    <w:rsid w:val="007F376C"/>
    <w:rsid w:val="007F4206"/>
    <w:rsid w:val="007F44AC"/>
    <w:rsid w:val="007F53EF"/>
    <w:rsid w:val="007F75B0"/>
    <w:rsid w:val="007F7E68"/>
    <w:rsid w:val="00803BA7"/>
    <w:rsid w:val="00803F49"/>
    <w:rsid w:val="00806245"/>
    <w:rsid w:val="0080731A"/>
    <w:rsid w:val="00814C08"/>
    <w:rsid w:val="00815186"/>
    <w:rsid w:val="00817555"/>
    <w:rsid w:val="00820BEA"/>
    <w:rsid w:val="008229C2"/>
    <w:rsid w:val="00826885"/>
    <w:rsid w:val="008313E0"/>
    <w:rsid w:val="00831DDA"/>
    <w:rsid w:val="008320FB"/>
    <w:rsid w:val="00832377"/>
    <w:rsid w:val="00832D83"/>
    <w:rsid w:val="0083591D"/>
    <w:rsid w:val="00840093"/>
    <w:rsid w:val="00840BC0"/>
    <w:rsid w:val="00842A2A"/>
    <w:rsid w:val="00844253"/>
    <w:rsid w:val="0084440E"/>
    <w:rsid w:val="00847423"/>
    <w:rsid w:val="0085178E"/>
    <w:rsid w:val="00852DDD"/>
    <w:rsid w:val="0085391B"/>
    <w:rsid w:val="0085403D"/>
    <w:rsid w:val="008545AE"/>
    <w:rsid w:val="0085475C"/>
    <w:rsid w:val="00861AD3"/>
    <w:rsid w:val="008624CA"/>
    <w:rsid w:val="00862DA8"/>
    <w:rsid w:val="008636C7"/>
    <w:rsid w:val="00863958"/>
    <w:rsid w:val="00866CA8"/>
    <w:rsid w:val="00867257"/>
    <w:rsid w:val="00867F72"/>
    <w:rsid w:val="00872A99"/>
    <w:rsid w:val="00873569"/>
    <w:rsid w:val="008742CE"/>
    <w:rsid w:val="00876661"/>
    <w:rsid w:val="00880F69"/>
    <w:rsid w:val="00885B4F"/>
    <w:rsid w:val="00892898"/>
    <w:rsid w:val="00892F96"/>
    <w:rsid w:val="00893C61"/>
    <w:rsid w:val="00895C3A"/>
    <w:rsid w:val="008A129F"/>
    <w:rsid w:val="008A23B7"/>
    <w:rsid w:val="008A2449"/>
    <w:rsid w:val="008A5272"/>
    <w:rsid w:val="008B2267"/>
    <w:rsid w:val="008B3066"/>
    <w:rsid w:val="008B3FD1"/>
    <w:rsid w:val="008B4DBD"/>
    <w:rsid w:val="008B560F"/>
    <w:rsid w:val="008B5EDD"/>
    <w:rsid w:val="008B7AFE"/>
    <w:rsid w:val="008C0CC7"/>
    <w:rsid w:val="008C1401"/>
    <w:rsid w:val="008C2744"/>
    <w:rsid w:val="008C4225"/>
    <w:rsid w:val="008C53CF"/>
    <w:rsid w:val="008C6816"/>
    <w:rsid w:val="008C7D1E"/>
    <w:rsid w:val="008D1BBB"/>
    <w:rsid w:val="008D2AE4"/>
    <w:rsid w:val="008D2C49"/>
    <w:rsid w:val="008D31FF"/>
    <w:rsid w:val="008E1033"/>
    <w:rsid w:val="008E296D"/>
    <w:rsid w:val="008E577F"/>
    <w:rsid w:val="008E59DC"/>
    <w:rsid w:val="008E6C33"/>
    <w:rsid w:val="008F042E"/>
    <w:rsid w:val="008F0C0D"/>
    <w:rsid w:val="008F236D"/>
    <w:rsid w:val="008F43F0"/>
    <w:rsid w:val="008F5DA3"/>
    <w:rsid w:val="00902485"/>
    <w:rsid w:val="00905D22"/>
    <w:rsid w:val="009063CE"/>
    <w:rsid w:val="0090732C"/>
    <w:rsid w:val="00910634"/>
    <w:rsid w:val="00911677"/>
    <w:rsid w:val="00912424"/>
    <w:rsid w:val="00914FD7"/>
    <w:rsid w:val="00916028"/>
    <w:rsid w:val="0091662E"/>
    <w:rsid w:val="00917B2A"/>
    <w:rsid w:val="009213C7"/>
    <w:rsid w:val="00922E6E"/>
    <w:rsid w:val="009230A5"/>
    <w:rsid w:val="009273C7"/>
    <w:rsid w:val="00927401"/>
    <w:rsid w:val="009276D1"/>
    <w:rsid w:val="00927B5C"/>
    <w:rsid w:val="00932E5C"/>
    <w:rsid w:val="00935B98"/>
    <w:rsid w:val="009378A7"/>
    <w:rsid w:val="00941B3A"/>
    <w:rsid w:val="00944002"/>
    <w:rsid w:val="00944D25"/>
    <w:rsid w:val="0094580A"/>
    <w:rsid w:val="0095002D"/>
    <w:rsid w:val="00950BD4"/>
    <w:rsid w:val="009518D0"/>
    <w:rsid w:val="00956FE0"/>
    <w:rsid w:val="009602AA"/>
    <w:rsid w:val="00962DB4"/>
    <w:rsid w:val="009630C8"/>
    <w:rsid w:val="009644BA"/>
    <w:rsid w:val="009723BE"/>
    <w:rsid w:val="009740EC"/>
    <w:rsid w:val="009803AA"/>
    <w:rsid w:val="0098070F"/>
    <w:rsid w:val="00985B29"/>
    <w:rsid w:val="0099077F"/>
    <w:rsid w:val="00990FB0"/>
    <w:rsid w:val="0099197B"/>
    <w:rsid w:val="00993DD6"/>
    <w:rsid w:val="00993F8F"/>
    <w:rsid w:val="00996E97"/>
    <w:rsid w:val="00997695"/>
    <w:rsid w:val="009A3F70"/>
    <w:rsid w:val="009A7C0C"/>
    <w:rsid w:val="009B12CF"/>
    <w:rsid w:val="009B45EC"/>
    <w:rsid w:val="009B5BD5"/>
    <w:rsid w:val="009B68AE"/>
    <w:rsid w:val="009B76EC"/>
    <w:rsid w:val="009C24A1"/>
    <w:rsid w:val="009C2BF5"/>
    <w:rsid w:val="009C3A0E"/>
    <w:rsid w:val="009C64E9"/>
    <w:rsid w:val="009C6F1E"/>
    <w:rsid w:val="009C70AC"/>
    <w:rsid w:val="009C7271"/>
    <w:rsid w:val="009D0ED2"/>
    <w:rsid w:val="009D58B0"/>
    <w:rsid w:val="009D5ADB"/>
    <w:rsid w:val="009D6CE2"/>
    <w:rsid w:val="009D72DC"/>
    <w:rsid w:val="009E21B9"/>
    <w:rsid w:val="009E23D1"/>
    <w:rsid w:val="009E33DB"/>
    <w:rsid w:val="009F0666"/>
    <w:rsid w:val="009F0FC5"/>
    <w:rsid w:val="009F181B"/>
    <w:rsid w:val="009F4523"/>
    <w:rsid w:val="009F59BF"/>
    <w:rsid w:val="009F6DAD"/>
    <w:rsid w:val="009F710E"/>
    <w:rsid w:val="00A02E09"/>
    <w:rsid w:val="00A039B5"/>
    <w:rsid w:val="00A0684A"/>
    <w:rsid w:val="00A10B4C"/>
    <w:rsid w:val="00A1175B"/>
    <w:rsid w:val="00A127CA"/>
    <w:rsid w:val="00A17DDB"/>
    <w:rsid w:val="00A20404"/>
    <w:rsid w:val="00A21C7E"/>
    <w:rsid w:val="00A2292C"/>
    <w:rsid w:val="00A2403D"/>
    <w:rsid w:val="00A3277A"/>
    <w:rsid w:val="00A3395C"/>
    <w:rsid w:val="00A36F65"/>
    <w:rsid w:val="00A41FE7"/>
    <w:rsid w:val="00A4211E"/>
    <w:rsid w:val="00A4351D"/>
    <w:rsid w:val="00A44C0D"/>
    <w:rsid w:val="00A504F4"/>
    <w:rsid w:val="00A50F8F"/>
    <w:rsid w:val="00A5228A"/>
    <w:rsid w:val="00A52A72"/>
    <w:rsid w:val="00A5462F"/>
    <w:rsid w:val="00A556E8"/>
    <w:rsid w:val="00A577A8"/>
    <w:rsid w:val="00A57CB8"/>
    <w:rsid w:val="00A60D1B"/>
    <w:rsid w:val="00A623B4"/>
    <w:rsid w:val="00A653C6"/>
    <w:rsid w:val="00A655EA"/>
    <w:rsid w:val="00A658D0"/>
    <w:rsid w:val="00A65A22"/>
    <w:rsid w:val="00A76BE0"/>
    <w:rsid w:val="00A82538"/>
    <w:rsid w:val="00A844CE"/>
    <w:rsid w:val="00A8668D"/>
    <w:rsid w:val="00A87BA0"/>
    <w:rsid w:val="00A961DD"/>
    <w:rsid w:val="00A9638A"/>
    <w:rsid w:val="00A979C1"/>
    <w:rsid w:val="00AA084A"/>
    <w:rsid w:val="00AA0D66"/>
    <w:rsid w:val="00AA3FCB"/>
    <w:rsid w:val="00AB3596"/>
    <w:rsid w:val="00AB431D"/>
    <w:rsid w:val="00AB643F"/>
    <w:rsid w:val="00AC1CB0"/>
    <w:rsid w:val="00AC4359"/>
    <w:rsid w:val="00AC7358"/>
    <w:rsid w:val="00AD130D"/>
    <w:rsid w:val="00AD1D31"/>
    <w:rsid w:val="00AD6ABB"/>
    <w:rsid w:val="00AE3016"/>
    <w:rsid w:val="00AE31D7"/>
    <w:rsid w:val="00AE367F"/>
    <w:rsid w:val="00AE4829"/>
    <w:rsid w:val="00AF52DB"/>
    <w:rsid w:val="00AF5F3A"/>
    <w:rsid w:val="00AF6183"/>
    <w:rsid w:val="00B01F19"/>
    <w:rsid w:val="00B0276D"/>
    <w:rsid w:val="00B0568E"/>
    <w:rsid w:val="00B05FC4"/>
    <w:rsid w:val="00B0679F"/>
    <w:rsid w:val="00B07248"/>
    <w:rsid w:val="00B12073"/>
    <w:rsid w:val="00B1653B"/>
    <w:rsid w:val="00B1799E"/>
    <w:rsid w:val="00B21986"/>
    <w:rsid w:val="00B23419"/>
    <w:rsid w:val="00B24968"/>
    <w:rsid w:val="00B25528"/>
    <w:rsid w:val="00B25FD8"/>
    <w:rsid w:val="00B3033A"/>
    <w:rsid w:val="00B3038F"/>
    <w:rsid w:val="00B307B4"/>
    <w:rsid w:val="00B33E07"/>
    <w:rsid w:val="00B34815"/>
    <w:rsid w:val="00B361E2"/>
    <w:rsid w:val="00B37E50"/>
    <w:rsid w:val="00B42C42"/>
    <w:rsid w:val="00B45733"/>
    <w:rsid w:val="00B467C0"/>
    <w:rsid w:val="00B477D3"/>
    <w:rsid w:val="00B56298"/>
    <w:rsid w:val="00B56CF2"/>
    <w:rsid w:val="00B57DBC"/>
    <w:rsid w:val="00B62F51"/>
    <w:rsid w:val="00B63F36"/>
    <w:rsid w:val="00B65216"/>
    <w:rsid w:val="00B65A04"/>
    <w:rsid w:val="00B72B4E"/>
    <w:rsid w:val="00B73F50"/>
    <w:rsid w:val="00B7799E"/>
    <w:rsid w:val="00B80AE3"/>
    <w:rsid w:val="00B82467"/>
    <w:rsid w:val="00B83C04"/>
    <w:rsid w:val="00B845D1"/>
    <w:rsid w:val="00B85F9D"/>
    <w:rsid w:val="00B93F1F"/>
    <w:rsid w:val="00BA0973"/>
    <w:rsid w:val="00BA09ED"/>
    <w:rsid w:val="00BA22D9"/>
    <w:rsid w:val="00BB150B"/>
    <w:rsid w:val="00BB412C"/>
    <w:rsid w:val="00BB5242"/>
    <w:rsid w:val="00BB61B8"/>
    <w:rsid w:val="00BB7448"/>
    <w:rsid w:val="00BB798F"/>
    <w:rsid w:val="00BC111C"/>
    <w:rsid w:val="00BC217D"/>
    <w:rsid w:val="00BC72DE"/>
    <w:rsid w:val="00BC74BF"/>
    <w:rsid w:val="00BC7D8D"/>
    <w:rsid w:val="00BC7F73"/>
    <w:rsid w:val="00BD0302"/>
    <w:rsid w:val="00BD2167"/>
    <w:rsid w:val="00BD3894"/>
    <w:rsid w:val="00BD7164"/>
    <w:rsid w:val="00BD730A"/>
    <w:rsid w:val="00BD7A5F"/>
    <w:rsid w:val="00BE15FF"/>
    <w:rsid w:val="00BE39A9"/>
    <w:rsid w:val="00BE5676"/>
    <w:rsid w:val="00BE6D9B"/>
    <w:rsid w:val="00BE7E2D"/>
    <w:rsid w:val="00BF25AB"/>
    <w:rsid w:val="00BF5708"/>
    <w:rsid w:val="00BF646E"/>
    <w:rsid w:val="00C04971"/>
    <w:rsid w:val="00C04A44"/>
    <w:rsid w:val="00C04ECE"/>
    <w:rsid w:val="00C05736"/>
    <w:rsid w:val="00C14B07"/>
    <w:rsid w:val="00C156B2"/>
    <w:rsid w:val="00C16C66"/>
    <w:rsid w:val="00C21F1E"/>
    <w:rsid w:val="00C24A97"/>
    <w:rsid w:val="00C25CB1"/>
    <w:rsid w:val="00C26446"/>
    <w:rsid w:val="00C303BE"/>
    <w:rsid w:val="00C30826"/>
    <w:rsid w:val="00C31D6A"/>
    <w:rsid w:val="00C353B5"/>
    <w:rsid w:val="00C35934"/>
    <w:rsid w:val="00C41B9E"/>
    <w:rsid w:val="00C50184"/>
    <w:rsid w:val="00C52FEC"/>
    <w:rsid w:val="00C531B4"/>
    <w:rsid w:val="00C555BE"/>
    <w:rsid w:val="00C56760"/>
    <w:rsid w:val="00C63EC8"/>
    <w:rsid w:val="00C644AE"/>
    <w:rsid w:val="00C669C1"/>
    <w:rsid w:val="00C74180"/>
    <w:rsid w:val="00C7626A"/>
    <w:rsid w:val="00C85FB0"/>
    <w:rsid w:val="00C879EA"/>
    <w:rsid w:val="00C87A61"/>
    <w:rsid w:val="00C904B8"/>
    <w:rsid w:val="00C95F02"/>
    <w:rsid w:val="00C97F87"/>
    <w:rsid w:val="00CA00D7"/>
    <w:rsid w:val="00CA09F3"/>
    <w:rsid w:val="00CA13DF"/>
    <w:rsid w:val="00CA27B7"/>
    <w:rsid w:val="00CA3554"/>
    <w:rsid w:val="00CA48F3"/>
    <w:rsid w:val="00CB206B"/>
    <w:rsid w:val="00CB26AD"/>
    <w:rsid w:val="00CB28B3"/>
    <w:rsid w:val="00CB2FC4"/>
    <w:rsid w:val="00CB44D4"/>
    <w:rsid w:val="00CB58FC"/>
    <w:rsid w:val="00CC1B0C"/>
    <w:rsid w:val="00CC26F1"/>
    <w:rsid w:val="00CC36D9"/>
    <w:rsid w:val="00CC4D32"/>
    <w:rsid w:val="00CD0E2E"/>
    <w:rsid w:val="00CD1939"/>
    <w:rsid w:val="00CD4AEA"/>
    <w:rsid w:val="00CE2692"/>
    <w:rsid w:val="00CE327C"/>
    <w:rsid w:val="00CE3C22"/>
    <w:rsid w:val="00CE5738"/>
    <w:rsid w:val="00CF08CA"/>
    <w:rsid w:val="00CF0F81"/>
    <w:rsid w:val="00CF17B3"/>
    <w:rsid w:val="00CF5867"/>
    <w:rsid w:val="00D02FA6"/>
    <w:rsid w:val="00D03BD1"/>
    <w:rsid w:val="00D04C62"/>
    <w:rsid w:val="00D05DCA"/>
    <w:rsid w:val="00D076AD"/>
    <w:rsid w:val="00D1145F"/>
    <w:rsid w:val="00D11671"/>
    <w:rsid w:val="00D12690"/>
    <w:rsid w:val="00D14EF3"/>
    <w:rsid w:val="00D16C17"/>
    <w:rsid w:val="00D222F2"/>
    <w:rsid w:val="00D25303"/>
    <w:rsid w:val="00D257F4"/>
    <w:rsid w:val="00D26528"/>
    <w:rsid w:val="00D26E32"/>
    <w:rsid w:val="00D31B9B"/>
    <w:rsid w:val="00D32B25"/>
    <w:rsid w:val="00D34DD7"/>
    <w:rsid w:val="00D3751D"/>
    <w:rsid w:val="00D37746"/>
    <w:rsid w:val="00D37BA8"/>
    <w:rsid w:val="00D40148"/>
    <w:rsid w:val="00D412A6"/>
    <w:rsid w:val="00D44F5E"/>
    <w:rsid w:val="00D45D65"/>
    <w:rsid w:val="00D46576"/>
    <w:rsid w:val="00D51293"/>
    <w:rsid w:val="00D51FDE"/>
    <w:rsid w:val="00D52B39"/>
    <w:rsid w:val="00D5384E"/>
    <w:rsid w:val="00D54134"/>
    <w:rsid w:val="00D54291"/>
    <w:rsid w:val="00D61CEB"/>
    <w:rsid w:val="00D62C17"/>
    <w:rsid w:val="00D64805"/>
    <w:rsid w:val="00D65731"/>
    <w:rsid w:val="00D71920"/>
    <w:rsid w:val="00D747BB"/>
    <w:rsid w:val="00D81AA1"/>
    <w:rsid w:val="00D83B15"/>
    <w:rsid w:val="00D84F68"/>
    <w:rsid w:val="00D85501"/>
    <w:rsid w:val="00D91C88"/>
    <w:rsid w:val="00D921FF"/>
    <w:rsid w:val="00DA0837"/>
    <w:rsid w:val="00DA15AE"/>
    <w:rsid w:val="00DA3056"/>
    <w:rsid w:val="00DA407E"/>
    <w:rsid w:val="00DA7374"/>
    <w:rsid w:val="00DB0FAA"/>
    <w:rsid w:val="00DB2A7A"/>
    <w:rsid w:val="00DB4060"/>
    <w:rsid w:val="00DB47BB"/>
    <w:rsid w:val="00DC0D1F"/>
    <w:rsid w:val="00DC1B16"/>
    <w:rsid w:val="00DC22CE"/>
    <w:rsid w:val="00DC3144"/>
    <w:rsid w:val="00DD24F1"/>
    <w:rsid w:val="00DD3BF0"/>
    <w:rsid w:val="00DD55D7"/>
    <w:rsid w:val="00DD5CFC"/>
    <w:rsid w:val="00DE04FB"/>
    <w:rsid w:val="00DE0B79"/>
    <w:rsid w:val="00DE5681"/>
    <w:rsid w:val="00DE6744"/>
    <w:rsid w:val="00DF09EB"/>
    <w:rsid w:val="00DF0E23"/>
    <w:rsid w:val="00DF2167"/>
    <w:rsid w:val="00DF23A8"/>
    <w:rsid w:val="00DF3AED"/>
    <w:rsid w:val="00DF3EFF"/>
    <w:rsid w:val="00DF56DE"/>
    <w:rsid w:val="00DF7AE4"/>
    <w:rsid w:val="00E019C8"/>
    <w:rsid w:val="00E01C70"/>
    <w:rsid w:val="00E039D6"/>
    <w:rsid w:val="00E0511A"/>
    <w:rsid w:val="00E052AF"/>
    <w:rsid w:val="00E06B3B"/>
    <w:rsid w:val="00E13E16"/>
    <w:rsid w:val="00E147EB"/>
    <w:rsid w:val="00E154FA"/>
    <w:rsid w:val="00E15A07"/>
    <w:rsid w:val="00E16FEE"/>
    <w:rsid w:val="00E17EA0"/>
    <w:rsid w:val="00E20B3D"/>
    <w:rsid w:val="00E227D4"/>
    <w:rsid w:val="00E22D11"/>
    <w:rsid w:val="00E2320F"/>
    <w:rsid w:val="00E24E7A"/>
    <w:rsid w:val="00E26086"/>
    <w:rsid w:val="00E26978"/>
    <w:rsid w:val="00E32A3A"/>
    <w:rsid w:val="00E330A7"/>
    <w:rsid w:val="00E3315E"/>
    <w:rsid w:val="00E33BD9"/>
    <w:rsid w:val="00E40262"/>
    <w:rsid w:val="00E43BEF"/>
    <w:rsid w:val="00E43E9D"/>
    <w:rsid w:val="00E45A13"/>
    <w:rsid w:val="00E462DE"/>
    <w:rsid w:val="00E46FE1"/>
    <w:rsid w:val="00E47FBC"/>
    <w:rsid w:val="00E55EE0"/>
    <w:rsid w:val="00E627F2"/>
    <w:rsid w:val="00E62AE7"/>
    <w:rsid w:val="00E62D65"/>
    <w:rsid w:val="00E6373F"/>
    <w:rsid w:val="00E65B16"/>
    <w:rsid w:val="00E65E4D"/>
    <w:rsid w:val="00E705F5"/>
    <w:rsid w:val="00E71D1B"/>
    <w:rsid w:val="00E72E0D"/>
    <w:rsid w:val="00E743AC"/>
    <w:rsid w:val="00E74B83"/>
    <w:rsid w:val="00E7527D"/>
    <w:rsid w:val="00E75284"/>
    <w:rsid w:val="00E7714E"/>
    <w:rsid w:val="00E7759A"/>
    <w:rsid w:val="00E80010"/>
    <w:rsid w:val="00E808C0"/>
    <w:rsid w:val="00E81AD5"/>
    <w:rsid w:val="00E836B9"/>
    <w:rsid w:val="00E86CCD"/>
    <w:rsid w:val="00E926A4"/>
    <w:rsid w:val="00E9449E"/>
    <w:rsid w:val="00E94A8D"/>
    <w:rsid w:val="00EA09FF"/>
    <w:rsid w:val="00EA1A23"/>
    <w:rsid w:val="00EA5F73"/>
    <w:rsid w:val="00EA6BE1"/>
    <w:rsid w:val="00EB507B"/>
    <w:rsid w:val="00EB52C2"/>
    <w:rsid w:val="00EC0C2E"/>
    <w:rsid w:val="00EC29CD"/>
    <w:rsid w:val="00EC3CA0"/>
    <w:rsid w:val="00ED0897"/>
    <w:rsid w:val="00ED1B51"/>
    <w:rsid w:val="00ED380F"/>
    <w:rsid w:val="00ED399A"/>
    <w:rsid w:val="00ED5565"/>
    <w:rsid w:val="00EE1635"/>
    <w:rsid w:val="00EE1B8C"/>
    <w:rsid w:val="00EE2AA0"/>
    <w:rsid w:val="00EE51CB"/>
    <w:rsid w:val="00EF1109"/>
    <w:rsid w:val="00EF59EA"/>
    <w:rsid w:val="00EF7D71"/>
    <w:rsid w:val="00F00A9D"/>
    <w:rsid w:val="00F01D07"/>
    <w:rsid w:val="00F06AD8"/>
    <w:rsid w:val="00F07F85"/>
    <w:rsid w:val="00F12272"/>
    <w:rsid w:val="00F123B7"/>
    <w:rsid w:val="00F128D7"/>
    <w:rsid w:val="00F129D4"/>
    <w:rsid w:val="00F163F1"/>
    <w:rsid w:val="00F20784"/>
    <w:rsid w:val="00F23869"/>
    <w:rsid w:val="00F244D2"/>
    <w:rsid w:val="00F252C9"/>
    <w:rsid w:val="00F26D84"/>
    <w:rsid w:val="00F2757E"/>
    <w:rsid w:val="00F2771B"/>
    <w:rsid w:val="00F30C0B"/>
    <w:rsid w:val="00F31A22"/>
    <w:rsid w:val="00F32502"/>
    <w:rsid w:val="00F32BB4"/>
    <w:rsid w:val="00F32EF1"/>
    <w:rsid w:val="00F35953"/>
    <w:rsid w:val="00F41484"/>
    <w:rsid w:val="00F41FCF"/>
    <w:rsid w:val="00F431BA"/>
    <w:rsid w:val="00F44DD9"/>
    <w:rsid w:val="00F51374"/>
    <w:rsid w:val="00F53EB4"/>
    <w:rsid w:val="00F554C9"/>
    <w:rsid w:val="00F56E3C"/>
    <w:rsid w:val="00F6352A"/>
    <w:rsid w:val="00F63908"/>
    <w:rsid w:val="00F643E0"/>
    <w:rsid w:val="00F65536"/>
    <w:rsid w:val="00F663C0"/>
    <w:rsid w:val="00F70158"/>
    <w:rsid w:val="00F71386"/>
    <w:rsid w:val="00F7282B"/>
    <w:rsid w:val="00F72BC2"/>
    <w:rsid w:val="00F73515"/>
    <w:rsid w:val="00F75145"/>
    <w:rsid w:val="00F803A5"/>
    <w:rsid w:val="00F80615"/>
    <w:rsid w:val="00F815A8"/>
    <w:rsid w:val="00F81DA7"/>
    <w:rsid w:val="00F82BAE"/>
    <w:rsid w:val="00F83EDF"/>
    <w:rsid w:val="00F8637E"/>
    <w:rsid w:val="00F91235"/>
    <w:rsid w:val="00F92082"/>
    <w:rsid w:val="00F94B1E"/>
    <w:rsid w:val="00F95337"/>
    <w:rsid w:val="00F959DA"/>
    <w:rsid w:val="00FA2FEF"/>
    <w:rsid w:val="00FB1A23"/>
    <w:rsid w:val="00FC1F93"/>
    <w:rsid w:val="00FC75B4"/>
    <w:rsid w:val="00FD3855"/>
    <w:rsid w:val="00FD3BE4"/>
    <w:rsid w:val="00FD686C"/>
    <w:rsid w:val="00FE0386"/>
    <w:rsid w:val="00FE0A3D"/>
    <w:rsid w:val="00FE23EB"/>
    <w:rsid w:val="00FE28B3"/>
    <w:rsid w:val="00FF0314"/>
    <w:rsid w:val="00FF0414"/>
    <w:rsid w:val="00FF208E"/>
    <w:rsid w:val="00FF22B5"/>
    <w:rsid w:val="00FF309D"/>
    <w:rsid w:val="00FF5312"/>
    <w:rsid w:val="00FF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47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4393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olicy_x0020_or_x0020_Procedure xmlns="1c64f3ea-64b2-4ba4-83e2-f0639d8ebc0b">
      <Value>Policy</Value>
    </Policy_x0020_or_x0020_Procedure>
    <Document_x0020_Type xmlns="0e17a363-e013-437b-9a95-505d1cd007fa">IFRS</Document_x0020_Type>
    <Region xmlns="1c64f3ea-64b2-4ba4-83e2-f0639d8ebc0b">General</Reg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7E62ACFF9FE41B812808D0EEFF973" ma:contentTypeVersion="29" ma:contentTypeDescription="Create a new document." ma:contentTypeScope="" ma:versionID="0039e61b7535e8ba0d4d22cbcc56088c">
  <xsd:schema xmlns:xsd="http://www.w3.org/2001/XMLSchema" xmlns:xs="http://www.w3.org/2001/XMLSchema" xmlns:p="http://schemas.microsoft.com/office/2006/metadata/properties" xmlns:ns2="1c64f3ea-64b2-4ba4-83e2-f0639d8ebc0b" xmlns:ns3="0e17a363-e013-437b-9a95-505d1cd007fa" xmlns:ns4="328597d9-4282-4247-a4e8-f559f7eb4505" xmlns:ns5="6bbfadf9-d801-40f2-a897-3bb0ed128290" targetNamespace="http://schemas.microsoft.com/office/2006/metadata/properties" ma:root="true" ma:fieldsID="af284e46e46d7d38b129448ba8845c82" ns2:_="" ns3:_="" ns4:_="" ns5:_="">
    <xsd:import namespace="1c64f3ea-64b2-4ba4-83e2-f0639d8ebc0b"/>
    <xsd:import namespace="0e17a363-e013-437b-9a95-505d1cd007fa"/>
    <xsd:import namespace="328597d9-4282-4247-a4e8-f559f7eb4505"/>
    <xsd:import namespace="6bbfadf9-d801-40f2-a897-3bb0ed128290"/>
    <xsd:element name="properties">
      <xsd:complexType>
        <xsd:sequence>
          <xsd:element name="documentManagement">
            <xsd:complexType>
              <xsd:all>
                <xsd:element ref="ns2:Region"/>
                <xsd:element ref="ns2:Policy_x0020_or_x0020_Procedure" minOccurs="0"/>
                <xsd:element ref="ns3:Document_x0020_Type"/>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4f3ea-64b2-4ba4-83e2-f0639d8ebc0b" elementFormDefault="qualified">
    <xsd:import namespace="http://schemas.microsoft.com/office/2006/documentManagement/types"/>
    <xsd:import namespace="http://schemas.microsoft.com/office/infopath/2007/PartnerControls"/>
    <xsd:element name="Region" ma:index="2" ma:displayName="Region" ma:default="General" ma:format="Dropdown" ma:internalName="Region">
      <xsd:simpleType>
        <xsd:restriction base="dms:Choice">
          <xsd:enumeration value="General"/>
          <xsd:enumeration value="Canada"/>
          <xsd:enumeration value="Mexico"/>
          <xsd:enumeration value="US"/>
          <xsd:enumeration value="AsiaPac"/>
          <xsd:enumeration value="Hong Kong"/>
          <xsd:enumeration value="Belgium"/>
          <xsd:enumeration value="Italy"/>
        </xsd:restriction>
      </xsd:simpleType>
    </xsd:element>
    <xsd:element name="Policy_x0020_or_x0020_Procedure" ma:index="9" nillable="true" ma:displayName="Policy or Procedure" ma:default="Policy" ma:internalName="Policy_x0020_or_x0020_Procedure" ma:requiredMultiChoice="true">
      <xsd:complexType>
        <xsd:complexContent>
          <xsd:extension base="dms:MultiChoice">
            <xsd:sequence>
              <xsd:element name="Value" maxOccurs="unbounded" minOccurs="0" nillable="true">
                <xsd:simpleType>
                  <xsd:restriction base="dms:Choice">
                    <xsd:enumeration value="Policy"/>
                    <xsd:enumeration value="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7a363-e013-437b-9a95-505d1cd007fa" elementFormDefault="qualified">
    <xsd:import namespace="http://schemas.microsoft.com/office/2006/documentManagement/types"/>
    <xsd:import namespace="http://schemas.microsoft.com/office/infopath/2007/PartnerControls"/>
    <xsd:element name="Document_x0020_Type" ma:index="10" ma:displayName="Document Type" ma:default="IFRS" ma:format="Dropdown" ma:internalName="Document_x0020_Type">
      <xsd:simpleType>
        <xsd:restriction base="dms:Choice">
          <xsd:enumeration value="Internal"/>
          <xsd:enumeration value="IFRS"/>
          <xsd:enumeration value="Metrics"/>
        </xsd:restriction>
      </xsd:simpleType>
    </xsd:element>
  </xsd:schema>
  <xsd:schema xmlns:xsd="http://www.w3.org/2001/XMLSchema" xmlns:xs="http://www.w3.org/2001/XMLSchema" xmlns:dms="http://schemas.microsoft.com/office/2006/documentManagement/types" xmlns:pc="http://schemas.microsoft.com/office/infopath/2007/PartnerControls" targetNamespace="328597d9-4282-4247-a4e8-f559f7eb450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adf9-d801-40f2-a897-3bb0ed12829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ACB6C-1224-4EFF-9D94-66E8BBDA058B}">
  <ds:schemaRefs>
    <ds:schemaRef ds:uri="http://schemas.microsoft.com/office/2006/documentManagement/types"/>
    <ds:schemaRef ds:uri="http://purl.org/dc/elements/1.1/"/>
    <ds:schemaRef ds:uri="http://schemas.openxmlformats.org/package/2006/metadata/core-properties"/>
    <ds:schemaRef ds:uri="http://purl.org/dc/dcmitype/"/>
    <ds:schemaRef ds:uri="0e17a363-e013-437b-9a95-505d1cd007fa"/>
    <ds:schemaRef ds:uri="328597d9-4282-4247-a4e8-f559f7eb4505"/>
    <ds:schemaRef ds:uri="http://purl.org/dc/terms/"/>
    <ds:schemaRef ds:uri="6bbfadf9-d801-40f2-a897-3bb0ed128290"/>
    <ds:schemaRef ds:uri="1c64f3ea-64b2-4ba4-83e2-f0639d8ebc0b"/>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CB844EC-8D66-4D8A-8958-97B88BABA958}">
  <ds:schemaRefs>
    <ds:schemaRef ds:uri="http://schemas.microsoft.com/sharepoint/v3/contenttype/forms"/>
  </ds:schemaRefs>
</ds:datastoreItem>
</file>

<file path=customXml/itemProps3.xml><?xml version="1.0" encoding="utf-8"?>
<ds:datastoreItem xmlns:ds="http://schemas.openxmlformats.org/officeDocument/2006/customXml" ds:itemID="{E59B90C7-15CB-41EF-BD91-C33566B0D68E}"/>
</file>

<file path=docProps/app.xml><?xml version="1.0" encoding="utf-8"?>
<Properties xmlns="http://schemas.openxmlformats.org/officeDocument/2006/extended-properties" xmlns:vt="http://schemas.openxmlformats.org/officeDocument/2006/docPropsVTypes">
  <Template>Normal.dotm</Template>
  <TotalTime>22</TotalTime>
  <Pages>5</Pages>
  <Words>894</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IFRS-Accounting Manual.doc</vt:lpstr>
    </vt:vector>
  </TitlesOfParts>
  <Company>Samsonite</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IFRS-Accounting Manual.doc</dc:title>
  <dc:creator>image008</dc:creator>
  <cp:lastModifiedBy>Jeff Brown</cp:lastModifiedBy>
  <cp:revision>6</cp:revision>
  <cp:lastPrinted>2010-11-05T16:59:00Z</cp:lastPrinted>
  <dcterms:created xsi:type="dcterms:W3CDTF">2013-12-11T19:12:00Z</dcterms:created>
  <dcterms:modified xsi:type="dcterms:W3CDTF">2018-12-17T20:26:00Z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0x010100F2E7E62ACFF9FE41B812808D0EEFF973</vt:lpwstr>
  </property>
  <property fmtid="{D5CDD505-2E9C-101B-9397-08002B2CF9AE}" pid="3" name="Document Approval Status">
    <vt:lpwstr>Initial Approval</vt:lpwstr>
  </property>
</Properties>
</file>